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EA676" w14:textId="2FBEED5F" w:rsidR="00D27C12" w:rsidRPr="006F2292" w:rsidRDefault="00D27C12" w:rsidP="00C875DD">
      <w:pPr>
        <w:jc w:val="center"/>
        <w:outlineLvl w:val="0"/>
        <w:rPr>
          <w:b/>
          <w:sz w:val="32"/>
          <w:szCs w:val="32"/>
        </w:rPr>
      </w:pPr>
      <w:r w:rsidRPr="006F2292">
        <w:rPr>
          <w:b/>
          <w:sz w:val="32"/>
          <w:szCs w:val="32"/>
        </w:rPr>
        <w:t>Introduction</w:t>
      </w:r>
    </w:p>
    <w:p w14:paraId="20B4D3B6" w14:textId="77777777" w:rsidR="008D6432" w:rsidRPr="00F735DF" w:rsidRDefault="008D6432" w:rsidP="00B250D6">
      <w:pPr>
        <w:jc w:val="center"/>
        <w:rPr>
          <w:b/>
          <w:sz w:val="20"/>
          <w:szCs w:val="20"/>
        </w:rPr>
      </w:pPr>
      <w:bookmarkStart w:id="0" w:name="_GoBack"/>
      <w:bookmarkEnd w:id="0"/>
    </w:p>
    <w:p w14:paraId="542AB499" w14:textId="109846BF" w:rsidR="00FD3B33" w:rsidRDefault="00D27C12" w:rsidP="000B2465">
      <w:r w:rsidRPr="00D27C12">
        <w:t>Just as doctors deliver treatments in consultation with medical data about patients, educators deliver meaningful learning experiences in consultation with assessment data about students.</w:t>
      </w:r>
      <w:r w:rsidR="00FD3B33">
        <w:t xml:space="preserve"> There are </w:t>
      </w:r>
      <w:r w:rsidR="002478BB">
        <w:t>four</w:t>
      </w:r>
      <w:r w:rsidR="00FD3B33">
        <w:t xml:space="preserve"> steps to consider for </w:t>
      </w:r>
      <w:r w:rsidR="009B20FC">
        <w:t xml:space="preserve">this assessment worksheet: </w:t>
      </w:r>
      <w:r w:rsidR="00FD3B33">
        <w:t xml:space="preserve">  </w:t>
      </w:r>
      <w:r>
        <w:t xml:space="preserve"> </w:t>
      </w:r>
    </w:p>
    <w:p w14:paraId="055F365D" w14:textId="77777777" w:rsidR="00FD3B33" w:rsidRPr="00F735DF" w:rsidRDefault="00FD3B33" w:rsidP="00FD3B33">
      <w:pPr>
        <w:pStyle w:val="paragraph"/>
        <w:spacing w:before="0" w:beforeAutospacing="0" w:after="0" w:afterAutospacing="0"/>
        <w:textAlignment w:val="baseline"/>
        <w:rPr>
          <w:rFonts w:asciiTheme="minorHAnsi" w:eastAsiaTheme="minorHAnsi" w:hAnsiTheme="minorHAnsi" w:cstheme="minorBidi"/>
          <w:sz w:val="20"/>
          <w:szCs w:val="20"/>
        </w:rPr>
      </w:pPr>
    </w:p>
    <w:p w14:paraId="30B54D07" w14:textId="77777777" w:rsidR="004F3BC3" w:rsidRPr="006F2292" w:rsidRDefault="00A80E0A" w:rsidP="00C875DD">
      <w:pPr>
        <w:pStyle w:val="paragraph"/>
        <w:spacing w:before="0" w:beforeAutospacing="0" w:after="0" w:afterAutospacing="0"/>
        <w:textAlignment w:val="baseline"/>
        <w:outlineLvl w:val="0"/>
        <w:rPr>
          <w:rStyle w:val="normaltextrun"/>
          <w:rFonts w:ascii="Calibri" w:hAnsi="Calibri" w:cs="Calibri"/>
          <w:b/>
          <w:sz w:val="32"/>
          <w:szCs w:val="32"/>
        </w:rPr>
      </w:pPr>
      <w:r w:rsidRPr="006F2292">
        <w:rPr>
          <w:rStyle w:val="normaltextrun"/>
          <w:rFonts w:ascii="Calibri" w:hAnsi="Calibri" w:cs="Calibri"/>
          <w:b/>
          <w:sz w:val="32"/>
          <w:szCs w:val="32"/>
        </w:rPr>
        <w:t>Step 1</w:t>
      </w:r>
    </w:p>
    <w:p w14:paraId="3658C4B5" w14:textId="2605A6A4" w:rsidR="00FD3B33" w:rsidRPr="00FD3B33" w:rsidRDefault="00FD3B33" w:rsidP="0060617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rPr>
        <w:t xml:space="preserve">Complete the </w:t>
      </w:r>
      <w:r w:rsidRPr="00A83742">
        <w:rPr>
          <w:rStyle w:val="normaltextrun"/>
          <w:rFonts w:ascii="Calibri" w:hAnsi="Calibri" w:cs="Calibri"/>
        </w:rPr>
        <w:t>Student Learning Outcomes worksheet</w:t>
      </w:r>
      <w:r>
        <w:rPr>
          <w:rStyle w:val="normaltextrun"/>
          <w:rFonts w:ascii="Calibri" w:hAnsi="Calibri" w:cs="Calibri"/>
        </w:rPr>
        <w:t xml:space="preserve"> so you </w:t>
      </w:r>
      <w:r w:rsidR="0050129F">
        <w:rPr>
          <w:rStyle w:val="normaltextrun"/>
          <w:rFonts w:ascii="Calibri" w:hAnsi="Calibri" w:cs="Calibri"/>
        </w:rPr>
        <w:t>articulate</w:t>
      </w:r>
      <w:r>
        <w:rPr>
          <w:rStyle w:val="normaltextrun"/>
          <w:rFonts w:ascii="Calibri" w:hAnsi="Calibri" w:cs="Calibri"/>
        </w:rPr>
        <w:t xml:space="preserve"> </w:t>
      </w:r>
      <w:r w:rsidR="00E30676">
        <w:rPr>
          <w:rStyle w:val="normaltextrun"/>
          <w:rFonts w:ascii="Calibri" w:hAnsi="Calibri" w:cs="Calibri"/>
        </w:rPr>
        <w:t>the</w:t>
      </w:r>
      <w:r>
        <w:rPr>
          <w:rStyle w:val="normaltextrun"/>
          <w:rFonts w:ascii="Calibri" w:hAnsi="Calibri" w:cs="Calibri"/>
        </w:rPr>
        <w:t xml:space="preserve"> long-term impact you hope your course will have on students</w:t>
      </w:r>
      <w:r w:rsidR="0018742C">
        <w:rPr>
          <w:rStyle w:val="normaltextrun"/>
          <w:rFonts w:ascii="Calibri" w:hAnsi="Calibri" w:cs="Calibri"/>
        </w:rPr>
        <w:t xml:space="preserve">: </w:t>
      </w:r>
      <w:r>
        <w:rPr>
          <w:rStyle w:val="normaltextrun"/>
          <w:rFonts w:ascii="Calibri" w:hAnsi="Calibri" w:cs="Calibri"/>
        </w:rPr>
        <w:t>the “Big Dream” for your course</w:t>
      </w:r>
      <w:r w:rsidR="0018742C">
        <w:rPr>
          <w:rStyle w:val="normaltextrun"/>
          <w:rFonts w:ascii="Calibri" w:hAnsi="Calibri" w:cs="Calibri"/>
        </w:rPr>
        <w:t>!</w:t>
      </w:r>
      <w:r>
        <w:rPr>
          <w:rStyle w:val="normaltextrun"/>
          <w:rFonts w:ascii="Calibri" w:hAnsi="Calibri" w:cs="Calibri"/>
        </w:rPr>
        <w:t xml:space="preserve"> </w:t>
      </w:r>
      <w:r w:rsidR="0018742C">
        <w:rPr>
          <w:rStyle w:val="normaltextrun"/>
          <w:rFonts w:ascii="Calibri" w:hAnsi="Calibri" w:cs="Calibri"/>
        </w:rPr>
        <w:t>As part of this worksheet,</w:t>
      </w:r>
      <w:r>
        <w:rPr>
          <w:rStyle w:val="normaltextrun"/>
          <w:rFonts w:ascii="Calibri" w:hAnsi="Calibri" w:cs="Calibri"/>
        </w:rPr>
        <w:t xml:space="preserve"> </w:t>
      </w:r>
      <w:r w:rsidR="0018742C">
        <w:rPr>
          <w:rStyle w:val="normaltextrun"/>
          <w:rFonts w:ascii="Calibri" w:hAnsi="Calibri" w:cs="Calibri"/>
        </w:rPr>
        <w:t>make sure you have</w:t>
      </w:r>
      <w:r>
        <w:rPr>
          <w:rStyle w:val="normaltextrun"/>
          <w:rFonts w:ascii="Calibri" w:hAnsi="Calibri" w:cs="Calibri"/>
        </w:rPr>
        <w:t xml:space="preserve"> </w:t>
      </w:r>
      <w:r>
        <w:rPr>
          <w:rStyle w:val="normaltextrun"/>
          <w:rFonts w:ascii="Calibri" w:hAnsi="Calibri" w:cs="Calibri"/>
          <w:sz w:val="22"/>
          <w:szCs w:val="22"/>
        </w:rPr>
        <w:t>i</w:t>
      </w:r>
      <w:r w:rsidRPr="00FD3B33">
        <w:rPr>
          <w:rStyle w:val="normaltextrun"/>
          <w:rFonts w:ascii="Calibri" w:hAnsi="Calibri" w:cs="Calibri"/>
        </w:rPr>
        <w:t>dentif</w:t>
      </w:r>
      <w:r w:rsidR="0018742C">
        <w:rPr>
          <w:rStyle w:val="normaltextrun"/>
          <w:rFonts w:ascii="Calibri" w:hAnsi="Calibri" w:cs="Calibri"/>
        </w:rPr>
        <w:t>ied</w:t>
      </w:r>
      <w:r w:rsidRPr="00FD3B33">
        <w:rPr>
          <w:rStyle w:val="normaltextrun"/>
          <w:rFonts w:ascii="Calibri" w:hAnsi="Calibri" w:cs="Calibri"/>
        </w:rPr>
        <w:t xml:space="preserve"> what students would need to learn in order for this </w:t>
      </w:r>
      <w:r w:rsidR="00A53DDC">
        <w:rPr>
          <w:rStyle w:val="normaltextrun"/>
          <w:rFonts w:ascii="Calibri" w:hAnsi="Calibri" w:cs="Calibri"/>
        </w:rPr>
        <w:t>“</w:t>
      </w:r>
      <w:r w:rsidRPr="00FD3B33">
        <w:rPr>
          <w:rStyle w:val="normaltextrun"/>
          <w:rFonts w:ascii="Calibri" w:hAnsi="Calibri" w:cs="Calibri"/>
        </w:rPr>
        <w:t>Big Dream</w:t>
      </w:r>
      <w:r w:rsidR="00A53DDC">
        <w:rPr>
          <w:rStyle w:val="normaltextrun"/>
          <w:rFonts w:ascii="Calibri" w:hAnsi="Calibri" w:cs="Calibri"/>
        </w:rPr>
        <w:t>”</w:t>
      </w:r>
      <w:r w:rsidRPr="00FD3B33">
        <w:rPr>
          <w:rStyle w:val="normaltextrun"/>
          <w:rFonts w:ascii="Calibri" w:hAnsi="Calibri" w:cs="Calibri"/>
        </w:rPr>
        <w:t xml:space="preserve"> to be achieved</w:t>
      </w:r>
      <w:r w:rsidR="00436938">
        <w:rPr>
          <w:rStyle w:val="normaltextrun"/>
          <w:rFonts w:ascii="Calibri" w:hAnsi="Calibri" w:cs="Calibri"/>
        </w:rPr>
        <w:t xml:space="preserve">, that is, </w:t>
      </w:r>
      <w:r w:rsidR="0018742C">
        <w:rPr>
          <w:rStyle w:val="normaltextrun"/>
          <w:rFonts w:ascii="Calibri" w:hAnsi="Calibri" w:cs="Calibri"/>
        </w:rPr>
        <w:t xml:space="preserve">the </w:t>
      </w:r>
      <w:r w:rsidR="00436938">
        <w:rPr>
          <w:rStyle w:val="normaltextrun"/>
          <w:rFonts w:ascii="Calibri" w:hAnsi="Calibri" w:cs="Calibri"/>
        </w:rPr>
        <w:t xml:space="preserve">student </w:t>
      </w:r>
      <w:r w:rsidR="0018742C">
        <w:rPr>
          <w:rStyle w:val="normaltextrun"/>
          <w:rFonts w:ascii="Calibri" w:hAnsi="Calibri" w:cs="Calibri"/>
        </w:rPr>
        <w:t xml:space="preserve">learning outcomes for your course. And last, but certainly not least, consider </w:t>
      </w:r>
      <w:r w:rsidR="007049CD">
        <w:rPr>
          <w:rStyle w:val="normaltextrun"/>
          <w:rFonts w:ascii="Calibri" w:hAnsi="Calibri" w:cs="Calibri"/>
        </w:rPr>
        <w:t xml:space="preserve">how to craft the outcomes with the three M’s as guideposts. </w:t>
      </w:r>
    </w:p>
    <w:p w14:paraId="067F3251" w14:textId="77777777" w:rsidR="00FD3B33" w:rsidRPr="00F735DF" w:rsidRDefault="00FD3B33" w:rsidP="00FD3B33">
      <w:pPr>
        <w:pStyle w:val="paragraph"/>
        <w:spacing w:before="0" w:beforeAutospacing="0" w:after="0" w:afterAutospacing="0"/>
        <w:ind w:left="720"/>
        <w:textAlignment w:val="baseline"/>
        <w:rPr>
          <w:rFonts w:ascii="Calibri" w:hAnsi="Calibri" w:cs="Calibri"/>
          <w:sz w:val="20"/>
          <w:szCs w:val="20"/>
        </w:rPr>
      </w:pPr>
    </w:p>
    <w:p w14:paraId="58BA09BE" w14:textId="77777777" w:rsidR="004F3BC3" w:rsidRPr="006F2292" w:rsidRDefault="00A80E0A" w:rsidP="00C875DD">
      <w:pPr>
        <w:pStyle w:val="paragraph"/>
        <w:spacing w:before="0" w:beforeAutospacing="0" w:after="0" w:afterAutospacing="0"/>
        <w:textAlignment w:val="baseline"/>
        <w:outlineLvl w:val="0"/>
        <w:rPr>
          <w:rStyle w:val="normaltextrun"/>
          <w:rFonts w:ascii="Calibri" w:hAnsi="Calibri" w:cs="Calibri"/>
          <w:b/>
          <w:sz w:val="32"/>
          <w:szCs w:val="32"/>
        </w:rPr>
      </w:pPr>
      <w:r w:rsidRPr="006F2292">
        <w:rPr>
          <w:rStyle w:val="normaltextrun"/>
          <w:rFonts w:ascii="Calibri" w:hAnsi="Calibri" w:cs="Calibri"/>
          <w:b/>
          <w:sz w:val="32"/>
          <w:szCs w:val="32"/>
        </w:rPr>
        <w:t xml:space="preserve">Step </w:t>
      </w:r>
      <w:r w:rsidR="00606170" w:rsidRPr="006F2292">
        <w:rPr>
          <w:rStyle w:val="normaltextrun"/>
          <w:rFonts w:ascii="Calibri" w:hAnsi="Calibri" w:cs="Calibri"/>
          <w:b/>
          <w:sz w:val="32"/>
          <w:szCs w:val="32"/>
        </w:rPr>
        <w:t>2</w:t>
      </w:r>
    </w:p>
    <w:p w14:paraId="3EF6B556" w14:textId="643C83D0" w:rsidR="00F735DF" w:rsidRDefault="007053EA" w:rsidP="00021C84">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Review the Data </w:t>
      </w:r>
      <w:r w:rsidR="00444206">
        <w:rPr>
          <w:rStyle w:val="normaltextrun"/>
          <w:rFonts w:ascii="Calibri" w:hAnsi="Calibri" w:cs="Calibri"/>
        </w:rPr>
        <w:t xml:space="preserve">Menu </w:t>
      </w:r>
      <w:r w:rsidR="006525E3">
        <w:rPr>
          <w:rStyle w:val="normaltextrun"/>
          <w:rFonts w:ascii="Calibri" w:hAnsi="Calibri" w:cs="Calibri"/>
        </w:rPr>
        <w:t xml:space="preserve">(pages 1-2 of this worksheet) </w:t>
      </w:r>
      <w:r w:rsidR="00444206">
        <w:rPr>
          <w:rStyle w:val="normaltextrun"/>
          <w:rFonts w:ascii="Calibri" w:hAnsi="Calibri" w:cs="Calibri"/>
        </w:rPr>
        <w:t xml:space="preserve">below to identify </w:t>
      </w:r>
      <w:r w:rsidR="00F229E9">
        <w:rPr>
          <w:rStyle w:val="normaltextrun"/>
          <w:rFonts w:ascii="Calibri" w:hAnsi="Calibri" w:cs="Calibri"/>
        </w:rPr>
        <w:t xml:space="preserve">what </w:t>
      </w:r>
      <w:r w:rsidR="00AE2817">
        <w:rPr>
          <w:rStyle w:val="normaltextrun"/>
          <w:rFonts w:ascii="Calibri" w:hAnsi="Calibri" w:cs="Calibri"/>
        </w:rPr>
        <w:t>evidence of learning</w:t>
      </w:r>
      <w:r w:rsidR="00F229E9">
        <w:rPr>
          <w:rStyle w:val="normaltextrun"/>
          <w:rFonts w:ascii="Calibri" w:hAnsi="Calibri" w:cs="Calibri"/>
        </w:rPr>
        <w:t xml:space="preserve"> </w:t>
      </w:r>
      <w:r w:rsidR="00AE2817">
        <w:rPr>
          <w:rStyle w:val="normaltextrun"/>
          <w:rFonts w:ascii="Calibri" w:hAnsi="Calibri" w:cs="Calibri"/>
        </w:rPr>
        <w:t xml:space="preserve">speaks to you, which of course </w:t>
      </w:r>
      <w:r w:rsidR="00AD3A91">
        <w:rPr>
          <w:rStyle w:val="normaltextrun"/>
          <w:rFonts w:ascii="Calibri" w:hAnsi="Calibri" w:cs="Calibri"/>
        </w:rPr>
        <w:t xml:space="preserve">will </w:t>
      </w:r>
      <w:r w:rsidR="00AE2817">
        <w:rPr>
          <w:rStyle w:val="normaltextrun"/>
          <w:rFonts w:ascii="Calibri" w:hAnsi="Calibri" w:cs="Calibri"/>
        </w:rPr>
        <w:t>depend</w:t>
      </w:r>
      <w:r w:rsidR="00F229E9">
        <w:rPr>
          <w:rStyle w:val="normaltextrun"/>
          <w:rFonts w:ascii="Calibri" w:hAnsi="Calibri" w:cs="Calibri"/>
        </w:rPr>
        <w:t xml:space="preserve"> upon the</w:t>
      </w:r>
      <w:r w:rsidR="000B1529">
        <w:rPr>
          <w:rStyle w:val="normaltextrun"/>
          <w:rFonts w:ascii="Calibri" w:hAnsi="Calibri" w:cs="Calibri"/>
        </w:rPr>
        <w:t xml:space="preserve"> “Big Dream” for your course. </w:t>
      </w:r>
      <w:r w:rsidR="00F229E9">
        <w:rPr>
          <w:rStyle w:val="normaltextrun"/>
          <w:rFonts w:ascii="Calibri" w:hAnsi="Calibri" w:cs="Calibri"/>
        </w:rPr>
        <w:t xml:space="preserve"> </w:t>
      </w:r>
    </w:p>
    <w:p w14:paraId="03B92F93" w14:textId="77777777" w:rsidR="00342106" w:rsidRPr="00342106" w:rsidRDefault="00342106" w:rsidP="00021C84">
      <w:pPr>
        <w:pStyle w:val="paragraph"/>
        <w:spacing w:before="0" w:beforeAutospacing="0" w:after="0" w:afterAutospacing="0"/>
        <w:textAlignment w:val="baseline"/>
        <w:rPr>
          <w:rFonts w:ascii="Calibri" w:hAnsi="Calibri" w:cs="Calibri"/>
          <w:sz w:val="20"/>
          <w:szCs w:val="20"/>
        </w:rPr>
      </w:pPr>
    </w:p>
    <w:tbl>
      <w:tblPr>
        <w:tblStyle w:val="TableGrid"/>
        <w:tblW w:w="0" w:type="auto"/>
        <w:tblLook w:val="04A0" w:firstRow="1" w:lastRow="0" w:firstColumn="1" w:lastColumn="0" w:noHBand="0" w:noVBand="1"/>
      </w:tblPr>
      <w:tblGrid>
        <w:gridCol w:w="5850"/>
        <w:gridCol w:w="3500"/>
      </w:tblGrid>
      <w:tr w:rsidR="007053EA" w14:paraId="3343C44A" w14:textId="77777777" w:rsidTr="007053EA">
        <w:tc>
          <w:tcPr>
            <w:tcW w:w="9350" w:type="dxa"/>
            <w:gridSpan w:val="2"/>
            <w:tcBorders>
              <w:left w:val="nil"/>
              <w:bottom w:val="single" w:sz="4" w:space="0" w:color="auto"/>
            </w:tcBorders>
            <w:shd w:val="clear" w:color="auto" w:fill="DEEAF6" w:themeFill="accent5" w:themeFillTint="33"/>
          </w:tcPr>
          <w:p w14:paraId="063ED37B" w14:textId="77777777" w:rsidR="007053EA" w:rsidRPr="006F2292" w:rsidRDefault="007053EA" w:rsidP="006F2292">
            <w:pPr>
              <w:jc w:val="center"/>
              <w:rPr>
                <w:b/>
                <w:sz w:val="32"/>
                <w:szCs w:val="32"/>
              </w:rPr>
            </w:pPr>
            <w:r w:rsidRPr="006F2292">
              <w:rPr>
                <w:b/>
                <w:sz w:val="32"/>
                <w:szCs w:val="32"/>
              </w:rPr>
              <w:t>Data Menu</w:t>
            </w:r>
          </w:p>
        </w:tc>
      </w:tr>
      <w:tr w:rsidR="000B2465" w14:paraId="2EEB3336" w14:textId="77777777" w:rsidTr="00EF1029">
        <w:tc>
          <w:tcPr>
            <w:tcW w:w="5850" w:type="dxa"/>
            <w:tcBorders>
              <w:left w:val="nil"/>
              <w:bottom w:val="single" w:sz="4" w:space="0" w:color="auto"/>
            </w:tcBorders>
          </w:tcPr>
          <w:p w14:paraId="49CE23F9" w14:textId="77777777" w:rsidR="000B2465" w:rsidRPr="000D4A7B" w:rsidRDefault="000B2465" w:rsidP="000C0E81">
            <w:pPr>
              <w:rPr>
                <w:b/>
                <w:sz w:val="10"/>
                <w:szCs w:val="10"/>
              </w:rPr>
            </w:pPr>
          </w:p>
          <w:p w14:paraId="0446E02D" w14:textId="77777777" w:rsidR="000B2465" w:rsidRDefault="004578CC" w:rsidP="000C0E81">
            <w:pPr>
              <w:rPr>
                <w:b/>
              </w:rPr>
            </w:pPr>
            <w:r>
              <w:rPr>
                <w:b/>
              </w:rPr>
              <w:t xml:space="preserve">Pivot </w:t>
            </w:r>
            <w:r w:rsidR="00B72642">
              <w:rPr>
                <w:b/>
              </w:rPr>
              <w:t xml:space="preserve">Now </w:t>
            </w:r>
            <w:r w:rsidR="00395650">
              <w:rPr>
                <w:b/>
              </w:rPr>
              <w:t xml:space="preserve">(Formative Assessment) </w:t>
            </w:r>
          </w:p>
          <w:p w14:paraId="2E12D439" w14:textId="77777777" w:rsidR="000B2465" w:rsidRPr="000D4A7B" w:rsidRDefault="000B2465" w:rsidP="000C0E81">
            <w:pPr>
              <w:rPr>
                <w:b/>
                <w:sz w:val="10"/>
                <w:szCs w:val="10"/>
              </w:rPr>
            </w:pPr>
          </w:p>
        </w:tc>
        <w:tc>
          <w:tcPr>
            <w:tcW w:w="3500" w:type="dxa"/>
            <w:tcBorders>
              <w:bottom w:val="single" w:sz="4" w:space="0" w:color="auto"/>
              <w:right w:val="nil"/>
            </w:tcBorders>
          </w:tcPr>
          <w:p w14:paraId="5EBA307E" w14:textId="77777777" w:rsidR="00CB1823" w:rsidRPr="00CB1823" w:rsidRDefault="00CB1823" w:rsidP="000C0E81">
            <w:pPr>
              <w:rPr>
                <w:b/>
                <w:sz w:val="10"/>
                <w:szCs w:val="10"/>
              </w:rPr>
            </w:pPr>
          </w:p>
          <w:p w14:paraId="5BBE4F0B" w14:textId="23C1D94D" w:rsidR="000B2465" w:rsidRDefault="00D27C12" w:rsidP="000C0E81">
            <w:pPr>
              <w:rPr>
                <w:b/>
              </w:rPr>
            </w:pPr>
            <w:r>
              <w:rPr>
                <w:b/>
              </w:rPr>
              <w:t xml:space="preserve">Purpose </w:t>
            </w:r>
            <w:r w:rsidR="000B2465">
              <w:rPr>
                <w:b/>
              </w:rPr>
              <w:t xml:space="preserve">   </w:t>
            </w:r>
          </w:p>
        </w:tc>
      </w:tr>
      <w:tr w:rsidR="000B2465" w14:paraId="2D404F82" w14:textId="77777777" w:rsidTr="00EF1029">
        <w:tc>
          <w:tcPr>
            <w:tcW w:w="5850" w:type="dxa"/>
            <w:tcBorders>
              <w:left w:val="nil"/>
            </w:tcBorders>
          </w:tcPr>
          <w:p w14:paraId="10186CC5" w14:textId="77777777" w:rsidR="000B2465" w:rsidRDefault="000B2465" w:rsidP="000C0E81">
            <w:pPr>
              <w:pStyle w:val="ListParagraph"/>
            </w:pPr>
          </w:p>
          <w:p w14:paraId="1411865B" w14:textId="77777777" w:rsidR="00D27C12" w:rsidRDefault="00513C34" w:rsidP="0031027F">
            <w:pPr>
              <w:pStyle w:val="ListParagraph"/>
              <w:numPr>
                <w:ilvl w:val="0"/>
                <w:numId w:val="2"/>
              </w:numPr>
            </w:pPr>
            <w:r w:rsidRPr="00513C34">
              <w:rPr>
                <w:i/>
              </w:rPr>
              <w:t>Before the Term Begins</w:t>
            </w:r>
            <w:r>
              <w:t xml:space="preserve">: </w:t>
            </w:r>
            <w:hyperlink r:id="rId10" w:history="1">
              <w:r w:rsidR="00D27C12" w:rsidRPr="00D27C12">
                <w:rPr>
                  <w:rStyle w:val="Hyperlink"/>
                </w:rPr>
                <w:t>Stress Test</w:t>
              </w:r>
            </w:hyperlink>
            <w:r w:rsidR="00D27C12">
              <w:t xml:space="preserve"> (</w:t>
            </w:r>
            <w:proofErr w:type="spellStart"/>
            <w:r w:rsidR="00D27C12">
              <w:t>Leutenegger</w:t>
            </w:r>
            <w:proofErr w:type="spellEnd"/>
            <w:r w:rsidR="00D27C12">
              <w:t xml:space="preserve">, 2020) </w:t>
            </w:r>
          </w:p>
          <w:p w14:paraId="7F5BFACA" w14:textId="77777777" w:rsidR="00B250D6" w:rsidRDefault="00B250D6" w:rsidP="00B250D6">
            <w:pPr>
              <w:pStyle w:val="ListParagraph"/>
            </w:pPr>
          </w:p>
          <w:p w14:paraId="06B11E42" w14:textId="77777777" w:rsidR="00BC4916" w:rsidRDefault="00513C34" w:rsidP="00B250D6">
            <w:pPr>
              <w:pStyle w:val="ListParagraph"/>
              <w:numPr>
                <w:ilvl w:val="0"/>
                <w:numId w:val="2"/>
              </w:numPr>
            </w:pPr>
            <w:r>
              <w:rPr>
                <w:i/>
              </w:rPr>
              <w:t>End of Class</w:t>
            </w:r>
            <w:r>
              <w:t xml:space="preserve">: </w:t>
            </w:r>
            <w:hyperlink r:id="rId11" w:tgtFrame="_blank" w:history="1">
              <w:r w:rsidRPr="00395650">
                <w:rPr>
                  <w:rStyle w:val="Hyperlink"/>
                </w:rPr>
                <w:t>Minute Paper</w:t>
              </w:r>
            </w:hyperlink>
            <w:r w:rsidRPr="00395650">
              <w:t> (Tufts University Center for the Enhancement of Learning &amp; Teaching</w:t>
            </w:r>
            <w:r>
              <w:t>)</w:t>
            </w:r>
          </w:p>
          <w:p w14:paraId="53E27BA7" w14:textId="77777777" w:rsidR="00BC4916" w:rsidRDefault="00BC4916" w:rsidP="00BC4916">
            <w:pPr>
              <w:pStyle w:val="ListParagraph"/>
            </w:pPr>
          </w:p>
          <w:p w14:paraId="32AE9FEB" w14:textId="77777777" w:rsidR="00BC195D" w:rsidRDefault="00BC4916" w:rsidP="00B250D6">
            <w:pPr>
              <w:pStyle w:val="ListParagraph"/>
              <w:numPr>
                <w:ilvl w:val="0"/>
                <w:numId w:val="2"/>
              </w:numPr>
            </w:pPr>
            <w:r>
              <w:rPr>
                <w:i/>
              </w:rPr>
              <w:t xml:space="preserve">End of Class: </w:t>
            </w:r>
            <w:hyperlink r:id="rId12" w:tgtFrame="_blank" w:history="1">
              <w:r w:rsidR="00395650" w:rsidRPr="00395650">
                <w:rPr>
                  <w:rStyle w:val="Hyperlink"/>
                </w:rPr>
                <w:t>Critical Incident</w:t>
              </w:r>
              <w:r w:rsidR="00B250D6">
                <w:rPr>
                  <w:rStyle w:val="Hyperlink"/>
                </w:rPr>
                <w:t xml:space="preserve"> </w:t>
              </w:r>
              <w:r w:rsidR="00395650" w:rsidRPr="00395650">
                <w:rPr>
                  <w:rStyle w:val="Hyperlink"/>
                </w:rPr>
                <w:t>Questionnaire</w:t>
              </w:r>
            </w:hyperlink>
            <w:r w:rsidR="00395650" w:rsidRPr="00395650">
              <w:t> (Brookfield, 2008) </w:t>
            </w:r>
          </w:p>
          <w:p w14:paraId="7039C393" w14:textId="77777777" w:rsidR="00B250D6" w:rsidRDefault="00B250D6" w:rsidP="00B250D6"/>
          <w:p w14:paraId="7310C9FF" w14:textId="77777777" w:rsidR="000B2465" w:rsidRPr="00E246B7" w:rsidRDefault="00B235F2" w:rsidP="00513C34">
            <w:pPr>
              <w:pStyle w:val="ListParagraph"/>
              <w:numPr>
                <w:ilvl w:val="0"/>
                <w:numId w:val="2"/>
              </w:numPr>
            </w:pPr>
            <w:hyperlink r:id="rId13" w:tgtFrame="_blank" w:history="1">
              <w:r w:rsidR="003B25D4" w:rsidRPr="00395650">
                <w:rPr>
                  <w:rStyle w:val="Hyperlink"/>
                </w:rPr>
                <w:t>Midterm Student Feedback</w:t>
              </w:r>
            </w:hyperlink>
            <w:r w:rsidR="003B25D4" w:rsidRPr="00395650">
              <w:t> (Tollefson, 2005) </w:t>
            </w:r>
          </w:p>
        </w:tc>
        <w:tc>
          <w:tcPr>
            <w:tcW w:w="3500" w:type="dxa"/>
            <w:tcBorders>
              <w:right w:val="nil"/>
            </w:tcBorders>
          </w:tcPr>
          <w:p w14:paraId="6622358B" w14:textId="77777777" w:rsidR="000B2465" w:rsidRDefault="000B2465" w:rsidP="000C0E81">
            <w:pPr>
              <w:pStyle w:val="ListParagraph"/>
            </w:pPr>
          </w:p>
          <w:p w14:paraId="496D03B7" w14:textId="77777777" w:rsidR="000B2465" w:rsidRDefault="00D27C12" w:rsidP="00D27C12">
            <w:r>
              <w:t xml:space="preserve">These </w:t>
            </w:r>
            <w:r w:rsidR="00075F1E">
              <w:t>types of data</w:t>
            </w:r>
            <w:r>
              <w:t xml:space="preserve"> help professors pivot in-the-moment so </w:t>
            </w:r>
            <w:r w:rsidR="00873D3F">
              <w:t xml:space="preserve">you can make shifts and changes midstream, instead of waiting for </w:t>
            </w:r>
            <w:r w:rsidR="00BA6E3A">
              <w:t>end-of-course</w:t>
            </w:r>
            <w:r w:rsidR="00873D3F">
              <w:t xml:space="preserve"> evaluations</w:t>
            </w:r>
            <w:r w:rsidR="00DF2647">
              <w:t>.</w:t>
            </w:r>
            <w:r w:rsidR="00873D3F">
              <w:t xml:space="preserve"> </w:t>
            </w:r>
            <w:r w:rsidR="00B72642">
              <w:t xml:space="preserve">This type of information helps you </w:t>
            </w:r>
            <w:proofErr w:type="gramStart"/>
            <w:r w:rsidR="00B72642">
              <w:t>make adjustments</w:t>
            </w:r>
            <w:proofErr w:type="gramEnd"/>
            <w:r w:rsidR="00873D3F">
              <w:t xml:space="preserve"> </w:t>
            </w:r>
            <w:r w:rsidR="00DF2647">
              <w:rPr>
                <w:i/>
              </w:rPr>
              <w:t>in situ</w:t>
            </w:r>
            <w:r w:rsidR="0036193D">
              <w:rPr>
                <w:i/>
              </w:rPr>
              <w:t xml:space="preserve"> </w:t>
            </w:r>
            <w:r w:rsidR="0036193D">
              <w:t>so you</w:t>
            </w:r>
            <w:r w:rsidR="00B72642">
              <w:t xml:space="preserve"> respond to students in</w:t>
            </w:r>
            <w:r w:rsidR="0036193D">
              <w:t xml:space="preserve"> </w:t>
            </w:r>
            <w:r w:rsidR="00EF1029">
              <w:t xml:space="preserve">timely and supportive ways. </w:t>
            </w:r>
          </w:p>
          <w:p w14:paraId="563B6F7A" w14:textId="77777777" w:rsidR="008B11D0" w:rsidRDefault="008B11D0" w:rsidP="00D27C12"/>
          <w:p w14:paraId="530977A8" w14:textId="7CE77333" w:rsidR="00021C84" w:rsidRPr="00B72642" w:rsidRDefault="00021C84" w:rsidP="00D27C12"/>
        </w:tc>
      </w:tr>
    </w:tbl>
    <w:p w14:paraId="17370226" w14:textId="77777777" w:rsidR="00CD1CFE" w:rsidRPr="00443D68" w:rsidRDefault="00CD1CFE" w:rsidP="000B2465">
      <w:pPr>
        <w:rPr>
          <w:b/>
          <w:sz w:val="10"/>
          <w:szCs w:val="10"/>
        </w:rPr>
      </w:pPr>
    </w:p>
    <w:tbl>
      <w:tblPr>
        <w:tblStyle w:val="TableGrid"/>
        <w:tblW w:w="0" w:type="auto"/>
        <w:tblLook w:val="04A0" w:firstRow="1" w:lastRow="0" w:firstColumn="1" w:lastColumn="0" w:noHBand="0" w:noVBand="1"/>
      </w:tblPr>
      <w:tblGrid>
        <w:gridCol w:w="5850"/>
        <w:gridCol w:w="3500"/>
      </w:tblGrid>
      <w:tr w:rsidR="00D27C12" w14:paraId="6BA0CE00" w14:textId="77777777" w:rsidTr="00E9254A">
        <w:tc>
          <w:tcPr>
            <w:tcW w:w="5850" w:type="dxa"/>
            <w:tcBorders>
              <w:left w:val="nil"/>
              <w:bottom w:val="single" w:sz="4" w:space="0" w:color="auto"/>
            </w:tcBorders>
          </w:tcPr>
          <w:p w14:paraId="345A3011" w14:textId="77777777" w:rsidR="00D27C12" w:rsidRPr="000D4A7B" w:rsidRDefault="00D27C12" w:rsidP="000C0E81">
            <w:pPr>
              <w:rPr>
                <w:b/>
                <w:sz w:val="10"/>
                <w:szCs w:val="10"/>
              </w:rPr>
            </w:pPr>
          </w:p>
          <w:p w14:paraId="02F2C1DD" w14:textId="77777777" w:rsidR="00D27C12" w:rsidRDefault="00B72642" w:rsidP="000C0E81">
            <w:pPr>
              <w:rPr>
                <w:b/>
              </w:rPr>
            </w:pPr>
            <w:r>
              <w:rPr>
                <w:b/>
              </w:rPr>
              <w:t xml:space="preserve">Pivot </w:t>
            </w:r>
            <w:r w:rsidR="00552F07">
              <w:rPr>
                <w:b/>
              </w:rPr>
              <w:t>in the Future</w:t>
            </w:r>
            <w:r w:rsidR="0070224B">
              <w:rPr>
                <w:b/>
              </w:rPr>
              <w:t xml:space="preserve"> (Summative Assessment)  </w:t>
            </w:r>
          </w:p>
          <w:p w14:paraId="3603EBEA" w14:textId="77777777" w:rsidR="00D27C12" w:rsidRPr="000D4A7B" w:rsidRDefault="00D27C12" w:rsidP="000C0E81">
            <w:pPr>
              <w:rPr>
                <w:b/>
                <w:sz w:val="10"/>
                <w:szCs w:val="10"/>
              </w:rPr>
            </w:pPr>
          </w:p>
        </w:tc>
        <w:tc>
          <w:tcPr>
            <w:tcW w:w="3500" w:type="dxa"/>
            <w:tcBorders>
              <w:bottom w:val="single" w:sz="4" w:space="0" w:color="auto"/>
              <w:right w:val="nil"/>
            </w:tcBorders>
          </w:tcPr>
          <w:p w14:paraId="6A421215" w14:textId="77777777" w:rsidR="001F36E1" w:rsidRPr="001F36E1" w:rsidRDefault="001F36E1" w:rsidP="000C0E81">
            <w:pPr>
              <w:rPr>
                <w:b/>
                <w:sz w:val="10"/>
                <w:szCs w:val="10"/>
              </w:rPr>
            </w:pPr>
          </w:p>
          <w:p w14:paraId="3A3A5A23" w14:textId="10A6CE39" w:rsidR="00D27C12" w:rsidRDefault="00D27C12" w:rsidP="000C0E81">
            <w:pPr>
              <w:rPr>
                <w:b/>
              </w:rPr>
            </w:pPr>
            <w:r>
              <w:rPr>
                <w:b/>
              </w:rPr>
              <w:t xml:space="preserve">Purpose    </w:t>
            </w:r>
          </w:p>
        </w:tc>
      </w:tr>
      <w:tr w:rsidR="00D27C12" w14:paraId="3B31B78B" w14:textId="77777777" w:rsidTr="00E9254A">
        <w:tc>
          <w:tcPr>
            <w:tcW w:w="5850" w:type="dxa"/>
            <w:tcBorders>
              <w:top w:val="single" w:sz="4" w:space="0" w:color="auto"/>
              <w:left w:val="nil"/>
            </w:tcBorders>
          </w:tcPr>
          <w:p w14:paraId="130BB550" w14:textId="77777777" w:rsidR="00D27C12" w:rsidRDefault="00D27C12" w:rsidP="000C0E81">
            <w:pPr>
              <w:pStyle w:val="ListParagraph"/>
            </w:pPr>
          </w:p>
          <w:p w14:paraId="43377356" w14:textId="77777777" w:rsidR="00D27C12" w:rsidRDefault="0031027F" w:rsidP="00DF2647">
            <w:pPr>
              <w:pStyle w:val="ListParagraph"/>
              <w:numPr>
                <w:ilvl w:val="0"/>
                <w:numId w:val="2"/>
              </w:numPr>
            </w:pPr>
            <w:r>
              <w:t>Exams</w:t>
            </w:r>
          </w:p>
          <w:p w14:paraId="415089B3" w14:textId="77777777" w:rsidR="00A40F24" w:rsidRDefault="00A40F24" w:rsidP="00A40F24">
            <w:pPr>
              <w:pStyle w:val="ListParagraph"/>
              <w:numPr>
                <w:ilvl w:val="0"/>
                <w:numId w:val="2"/>
              </w:numPr>
            </w:pPr>
            <w:r>
              <w:t>Observations</w:t>
            </w:r>
          </w:p>
          <w:p w14:paraId="76FA83D6" w14:textId="40090C72" w:rsidR="001F36E1" w:rsidRDefault="0031027F" w:rsidP="00137186">
            <w:pPr>
              <w:pStyle w:val="ListParagraph"/>
              <w:numPr>
                <w:ilvl w:val="0"/>
                <w:numId w:val="2"/>
              </w:numPr>
            </w:pPr>
            <w:r>
              <w:t>Papers</w:t>
            </w:r>
          </w:p>
          <w:p w14:paraId="04F8DC78" w14:textId="362F53DF" w:rsidR="000D4A7B" w:rsidRDefault="00A40F24" w:rsidP="001F36E1">
            <w:pPr>
              <w:pStyle w:val="ListParagraph"/>
              <w:numPr>
                <w:ilvl w:val="0"/>
                <w:numId w:val="2"/>
              </w:numPr>
            </w:pPr>
            <w:r>
              <w:t>Performances</w:t>
            </w:r>
          </w:p>
          <w:p w14:paraId="50B15F69" w14:textId="77777777" w:rsidR="00137186" w:rsidRDefault="00137186" w:rsidP="00137186">
            <w:pPr>
              <w:pStyle w:val="ListParagraph"/>
            </w:pPr>
          </w:p>
          <w:p w14:paraId="549AB738" w14:textId="10A42A56" w:rsidR="0031027F" w:rsidRDefault="0031027F" w:rsidP="00DF2647">
            <w:pPr>
              <w:pStyle w:val="ListParagraph"/>
              <w:numPr>
                <w:ilvl w:val="0"/>
                <w:numId w:val="2"/>
              </w:numPr>
            </w:pPr>
            <w:r>
              <w:lastRenderedPageBreak/>
              <w:t>Portfolios</w:t>
            </w:r>
          </w:p>
          <w:p w14:paraId="4E73AF84" w14:textId="77777777" w:rsidR="0031027F" w:rsidRDefault="0031027F" w:rsidP="00DF2647">
            <w:pPr>
              <w:pStyle w:val="ListParagraph"/>
              <w:numPr>
                <w:ilvl w:val="0"/>
                <w:numId w:val="2"/>
              </w:numPr>
            </w:pPr>
            <w:r>
              <w:t>Presentations</w:t>
            </w:r>
          </w:p>
          <w:p w14:paraId="4721426E" w14:textId="77777777" w:rsidR="0031027F" w:rsidRDefault="00A40F24" w:rsidP="00A40F24">
            <w:pPr>
              <w:pStyle w:val="ListParagraph"/>
              <w:numPr>
                <w:ilvl w:val="0"/>
                <w:numId w:val="2"/>
              </w:numPr>
            </w:pPr>
            <w:r>
              <w:t xml:space="preserve">Any other activity or assignment </w:t>
            </w:r>
          </w:p>
          <w:p w14:paraId="61FE49E1" w14:textId="77777777" w:rsidR="00A40F24" w:rsidRPr="00E246B7" w:rsidRDefault="00A40F24" w:rsidP="00A40F24">
            <w:pPr>
              <w:pStyle w:val="ListParagraph"/>
            </w:pPr>
          </w:p>
        </w:tc>
        <w:tc>
          <w:tcPr>
            <w:tcW w:w="3500" w:type="dxa"/>
            <w:tcBorders>
              <w:top w:val="single" w:sz="4" w:space="0" w:color="auto"/>
              <w:right w:val="nil"/>
            </w:tcBorders>
          </w:tcPr>
          <w:p w14:paraId="7365275C" w14:textId="77777777" w:rsidR="00D27C12" w:rsidRDefault="00D27C12" w:rsidP="000C0E81">
            <w:pPr>
              <w:pStyle w:val="ListParagraph"/>
            </w:pPr>
          </w:p>
          <w:p w14:paraId="273B30F6" w14:textId="77777777" w:rsidR="0065554A" w:rsidRDefault="00BA6E3A" w:rsidP="000C0E81">
            <w:r>
              <w:t xml:space="preserve">These types of </w:t>
            </w:r>
            <w:r w:rsidR="00C676F2">
              <w:t>assignments provide data to</w:t>
            </w:r>
            <w:r>
              <w:t xml:space="preserve"> help you see how and what students are learning </w:t>
            </w:r>
            <w:r>
              <w:rPr>
                <w:i/>
              </w:rPr>
              <w:t>in relation</w:t>
            </w:r>
            <w:r>
              <w:t xml:space="preserve"> to the</w:t>
            </w:r>
            <w:r w:rsidR="00C676F2">
              <w:t xml:space="preserve"> course</w:t>
            </w:r>
            <w:r>
              <w:t xml:space="preserve"> student learning outcomes</w:t>
            </w:r>
            <w:r w:rsidR="00C676F2">
              <w:t>.</w:t>
            </w:r>
            <w:r w:rsidR="00FF27A2">
              <w:t xml:space="preserve"> </w:t>
            </w:r>
          </w:p>
          <w:p w14:paraId="292C1C7C" w14:textId="77777777" w:rsidR="0065554A" w:rsidRDefault="0065554A" w:rsidP="000C0E81"/>
          <w:p w14:paraId="0AA3E079" w14:textId="1C4D8DDA" w:rsidR="00BA6E3A" w:rsidRDefault="006277F6" w:rsidP="000C0E81">
            <w:r>
              <w:lastRenderedPageBreak/>
              <w:t>S</w:t>
            </w:r>
            <w:r w:rsidR="00FF27A2">
              <w:t>ummative assessment</w:t>
            </w:r>
            <w:r w:rsidR="00E66D38">
              <w:t>s</w:t>
            </w:r>
            <w:r w:rsidR="00FF27A2">
              <w:t xml:space="preserve"> help department make curricular adjustments.  </w:t>
            </w:r>
          </w:p>
          <w:p w14:paraId="4BE732BC" w14:textId="77777777" w:rsidR="00C676F2" w:rsidRDefault="00C676F2" w:rsidP="000C0E81"/>
          <w:p w14:paraId="7F9239A6" w14:textId="1A54C911" w:rsidR="00D27C12" w:rsidRDefault="00BA6E3A" w:rsidP="000C0E81">
            <w:r>
              <w:t xml:space="preserve">If you are teaching </w:t>
            </w:r>
            <w:r w:rsidR="00404B4E">
              <w:t xml:space="preserve">a course required for </w:t>
            </w:r>
            <w:r w:rsidR="008D6432">
              <w:t>curricula in a major,</w:t>
            </w:r>
            <w:r w:rsidR="006277F6">
              <w:t xml:space="preserve"> you </w:t>
            </w:r>
            <w:r w:rsidR="00404B4E">
              <w:t xml:space="preserve">are in </w:t>
            </w:r>
            <w:r w:rsidR="00A943A5">
              <w:t>a</w:t>
            </w:r>
            <w:r w:rsidR="00404B4E">
              <w:t xml:space="preserve"> “sweet spot” to </w:t>
            </w:r>
            <w:r w:rsidR="00CB1823">
              <w:t>think about</w:t>
            </w:r>
            <w:r w:rsidR="008D6432">
              <w:t xml:space="preserve"> assessment </w:t>
            </w:r>
            <w:r w:rsidR="00A943A5">
              <w:t xml:space="preserve">for your course + assessment for your program. Please contact the Director of Academic Assessment </w:t>
            </w:r>
            <w:r w:rsidR="00CB1823">
              <w:t>to explore how to design</w:t>
            </w:r>
            <w:r w:rsidR="006277F6">
              <w:t xml:space="preserve"> assignments t</w:t>
            </w:r>
            <w:r w:rsidR="00CB1823">
              <w:t>hat</w:t>
            </w:r>
            <w:r w:rsidR="006277F6">
              <w:t xml:space="preserve"> </w:t>
            </w:r>
            <w:r w:rsidR="007A273D">
              <w:t xml:space="preserve">simultaneously </w:t>
            </w:r>
            <w:r w:rsidR="006277F6">
              <w:t>support your teaching</w:t>
            </w:r>
            <w:r w:rsidR="00135C89">
              <w:t xml:space="preserve"> and program assessment. </w:t>
            </w:r>
          </w:p>
          <w:p w14:paraId="27BA8FF7" w14:textId="77777777" w:rsidR="00CD1CFE" w:rsidRPr="00E246B7" w:rsidRDefault="00CD1CFE" w:rsidP="000C0E81"/>
        </w:tc>
      </w:tr>
    </w:tbl>
    <w:p w14:paraId="7D5B2DE7" w14:textId="77777777" w:rsidR="000B2465" w:rsidRDefault="000B2465" w:rsidP="000B2465">
      <w:pPr>
        <w:rPr>
          <w:b/>
        </w:rPr>
      </w:pPr>
    </w:p>
    <w:p w14:paraId="2DFCF207" w14:textId="7F18A532" w:rsidR="004F3BC3" w:rsidRPr="008D74CD" w:rsidRDefault="00A80E0A" w:rsidP="00C875DD">
      <w:pPr>
        <w:outlineLvl w:val="0"/>
        <w:rPr>
          <w:b/>
          <w:sz w:val="32"/>
          <w:szCs w:val="32"/>
        </w:rPr>
      </w:pPr>
      <w:r w:rsidRPr="008D74CD">
        <w:rPr>
          <w:b/>
          <w:sz w:val="32"/>
          <w:szCs w:val="32"/>
        </w:rPr>
        <w:t xml:space="preserve">Step </w:t>
      </w:r>
      <w:r w:rsidR="00137186">
        <w:rPr>
          <w:b/>
          <w:sz w:val="32"/>
          <w:szCs w:val="32"/>
        </w:rPr>
        <w:t>3</w:t>
      </w:r>
    </w:p>
    <w:p w14:paraId="5BDDBACD" w14:textId="25160BEA" w:rsidR="00DF2647" w:rsidRDefault="00CE494B" w:rsidP="00DF2647">
      <w:r>
        <w:t>Let’s take a moment to pause and reflect upon</w:t>
      </w:r>
      <w:r w:rsidR="008D3E3B">
        <w:t xml:space="preserve"> your</w:t>
      </w:r>
      <w:r w:rsidR="00802F81">
        <w:t xml:space="preserve"> philosoph</w:t>
      </w:r>
      <w:r w:rsidR="008D3E3B">
        <w:t>ical approaches to</w:t>
      </w:r>
      <w:r w:rsidR="00802F81">
        <w:t xml:space="preserve"> </w:t>
      </w:r>
      <w:r w:rsidR="00486C8C">
        <w:t xml:space="preserve">assessment. </w:t>
      </w:r>
      <w:r>
        <w:t>If this step resonates with you, consider including an explicit statement about assessment</w:t>
      </w:r>
      <w:r w:rsidR="00132679">
        <w:t xml:space="preserve"> in your syllabus</w:t>
      </w:r>
      <w:r>
        <w:t>.</w:t>
      </w:r>
      <w:r w:rsidR="003E0937">
        <w:t xml:space="preserve"> </w:t>
      </w:r>
      <w:r>
        <w:t xml:space="preserve">You might decide to adapt the </w:t>
      </w:r>
      <w:r w:rsidR="00D26DD8">
        <w:t>text below</w:t>
      </w:r>
      <w:r>
        <w:t>,</w:t>
      </w:r>
      <w:r w:rsidR="001F7FC6">
        <w:t xml:space="preserve"> or </w:t>
      </w:r>
      <w:r>
        <w:t xml:space="preserve">you might harness </w:t>
      </w:r>
      <w:r w:rsidR="00542158">
        <w:t>these words</w:t>
      </w:r>
      <w:r>
        <w:t xml:space="preserve"> </w:t>
      </w:r>
      <w:r w:rsidR="00542158">
        <w:t>as an</w:t>
      </w:r>
      <w:r>
        <w:t xml:space="preserve"> invitation to speak </w:t>
      </w:r>
      <w:r w:rsidR="001F7FC6" w:rsidRPr="001F7FC6">
        <w:t>with students about assessment</w:t>
      </w:r>
      <w:r w:rsidR="00F131D1">
        <w:t xml:space="preserve">. In this way, students can </w:t>
      </w:r>
      <w:r w:rsidR="001F7FC6" w:rsidRPr="001F7FC6">
        <w:t xml:space="preserve">understand </w:t>
      </w:r>
      <w:r w:rsidR="00AD0565">
        <w:t xml:space="preserve">what </w:t>
      </w:r>
      <w:r w:rsidR="00E53FCF">
        <w:t>your intentions are</w:t>
      </w:r>
      <w:r w:rsidR="001F7FC6" w:rsidRPr="001F7FC6">
        <w:t xml:space="preserve"> </w:t>
      </w:r>
      <w:r w:rsidR="00AD0565">
        <w:t>and why you</w:t>
      </w:r>
      <w:r w:rsidR="001F7FC6">
        <w:t xml:space="preserve"> ask them to do certain tasks and activities.</w:t>
      </w:r>
      <w:r w:rsidR="00226770">
        <w:t xml:space="preserve"> </w:t>
      </w:r>
      <w:r w:rsidR="001F7FC6">
        <w:t xml:space="preserve"> </w:t>
      </w:r>
      <w:r w:rsidR="001F7FC6" w:rsidRPr="001F7FC6">
        <w:t xml:space="preserve">  </w:t>
      </w:r>
    </w:p>
    <w:p w14:paraId="64543684" w14:textId="77777777" w:rsidR="001F7FC6" w:rsidRDefault="001F7FC6" w:rsidP="00DF2647"/>
    <w:p w14:paraId="0DBC6350" w14:textId="77777777" w:rsidR="000B2465" w:rsidRDefault="00DF2647" w:rsidP="00AA3E23">
      <w:pPr>
        <w:ind w:left="720"/>
      </w:pPr>
      <w:r w:rsidRPr="003B25D4">
        <w:t xml:space="preserve">In this class, we will work collaboratively to create space for everybody to learn, regardless of student, teaching apprentice, or professor roles. With its commitment to quality education, the University uses assessment as a tool for professors to design and deliver inclusive learning environments. Some assessments help professors learn how to make teaching pivots in the moment so they can immediately respond to your needs. Other assessments help students learn how to engage more deeply with the course content. Some assessments feel less like completing an assignment or less like taking a test, but seem more like engaging in an activity. Some assessments are graded, other assessments are not graded, but all assessments — whether they </w:t>
      </w:r>
      <w:r>
        <w:t>are</w:t>
      </w:r>
      <w:r w:rsidRPr="003B25D4">
        <w:t xml:space="preserve"> minute papers or exams or responses to a discussion prompt — are designed for robust learning.</w:t>
      </w:r>
    </w:p>
    <w:p w14:paraId="604E92AD" w14:textId="77777777" w:rsidR="009D1D7C" w:rsidRDefault="009D1D7C" w:rsidP="00BA23D4">
      <w:pPr>
        <w:rPr>
          <w:b/>
          <w:sz w:val="32"/>
          <w:szCs w:val="32"/>
        </w:rPr>
      </w:pPr>
    </w:p>
    <w:p w14:paraId="659D8BA4" w14:textId="77777777" w:rsidR="00FB13C3" w:rsidRPr="00FB13C3" w:rsidRDefault="00FB13C3" w:rsidP="00977C9E">
      <w:pPr>
        <w:jc w:val="center"/>
        <w:rPr>
          <w:b/>
          <w:sz w:val="20"/>
          <w:szCs w:val="20"/>
        </w:rPr>
      </w:pPr>
    </w:p>
    <w:p w14:paraId="11FA5711" w14:textId="77777777" w:rsidR="002036D8" w:rsidRDefault="002036D8" w:rsidP="00137186">
      <w:pPr>
        <w:rPr>
          <w:b/>
          <w:sz w:val="32"/>
          <w:szCs w:val="32"/>
        </w:rPr>
      </w:pPr>
    </w:p>
    <w:p w14:paraId="0BFB4888" w14:textId="77777777" w:rsidR="002036D8" w:rsidRDefault="002036D8" w:rsidP="00137186">
      <w:pPr>
        <w:rPr>
          <w:b/>
          <w:sz w:val="32"/>
          <w:szCs w:val="32"/>
        </w:rPr>
      </w:pPr>
    </w:p>
    <w:p w14:paraId="06675BB4" w14:textId="77777777" w:rsidR="002036D8" w:rsidRDefault="002036D8" w:rsidP="00137186">
      <w:pPr>
        <w:rPr>
          <w:b/>
          <w:sz w:val="32"/>
          <w:szCs w:val="32"/>
        </w:rPr>
      </w:pPr>
    </w:p>
    <w:p w14:paraId="1874AE4E" w14:textId="77777777" w:rsidR="002036D8" w:rsidRDefault="002036D8" w:rsidP="00137186">
      <w:pPr>
        <w:rPr>
          <w:b/>
          <w:sz w:val="32"/>
          <w:szCs w:val="32"/>
        </w:rPr>
      </w:pPr>
    </w:p>
    <w:p w14:paraId="65A1222A" w14:textId="467A5C6B" w:rsidR="00137186" w:rsidRPr="008D74CD" w:rsidRDefault="00137186" w:rsidP="00C875DD">
      <w:pPr>
        <w:outlineLvl w:val="0"/>
        <w:rPr>
          <w:b/>
          <w:sz w:val="32"/>
          <w:szCs w:val="32"/>
        </w:rPr>
      </w:pPr>
      <w:r w:rsidRPr="008D74CD">
        <w:rPr>
          <w:b/>
          <w:sz w:val="32"/>
          <w:szCs w:val="32"/>
        </w:rPr>
        <w:lastRenderedPageBreak/>
        <w:t xml:space="preserve">Step </w:t>
      </w:r>
      <w:r>
        <w:rPr>
          <w:b/>
          <w:sz w:val="32"/>
          <w:szCs w:val="32"/>
        </w:rPr>
        <w:t>4</w:t>
      </w:r>
    </w:p>
    <w:p w14:paraId="75973B9B" w14:textId="71F729AC" w:rsidR="00AB4FA0" w:rsidRPr="006C151E" w:rsidRDefault="00137186" w:rsidP="006C151E">
      <w:pPr>
        <w:pStyle w:val="paragraph"/>
        <w:spacing w:before="0" w:beforeAutospacing="0" w:after="0" w:afterAutospacing="0"/>
        <w:textAlignment w:val="baseline"/>
        <w:rPr>
          <w:rFonts w:asciiTheme="minorHAnsi" w:hAnsiTheme="minorHAnsi" w:cstheme="minorHAnsi"/>
          <w:sz w:val="22"/>
          <w:szCs w:val="22"/>
        </w:rPr>
      </w:pPr>
      <w:r w:rsidRPr="006C151E">
        <w:rPr>
          <w:rStyle w:val="normaltextrun"/>
          <w:rFonts w:asciiTheme="minorHAnsi" w:hAnsiTheme="minorHAnsi" w:cstheme="minorHAnsi"/>
        </w:rPr>
        <w:t xml:space="preserve">Create a road map (page 3 of this worksheet) that aligns the following content areas inspired by Pitts (2020) and </w:t>
      </w:r>
      <w:proofErr w:type="spellStart"/>
      <w:r w:rsidRPr="006C151E">
        <w:rPr>
          <w:rStyle w:val="normaltextrun"/>
          <w:rFonts w:asciiTheme="minorHAnsi" w:hAnsiTheme="minorHAnsi" w:cstheme="minorHAnsi"/>
        </w:rPr>
        <w:t>Sponsler</w:t>
      </w:r>
      <w:proofErr w:type="spellEnd"/>
      <w:r w:rsidRPr="006C151E">
        <w:rPr>
          <w:rStyle w:val="normaltextrun"/>
          <w:rFonts w:asciiTheme="minorHAnsi" w:hAnsiTheme="minorHAnsi" w:cstheme="minorHAnsi"/>
        </w:rPr>
        <w:t xml:space="preserve"> (2020).  </w:t>
      </w:r>
      <w:r w:rsidR="00563F42" w:rsidRPr="006C151E">
        <w:rPr>
          <w:rFonts w:asciiTheme="minorHAnsi" w:hAnsiTheme="minorHAnsi" w:cstheme="minorHAnsi"/>
        </w:rPr>
        <w:t>Use this space to</w:t>
      </w:r>
      <w:r w:rsidR="00AB4FA0" w:rsidRPr="006C151E">
        <w:rPr>
          <w:rFonts w:asciiTheme="minorHAnsi" w:hAnsiTheme="minorHAnsi" w:cstheme="minorHAnsi"/>
        </w:rPr>
        <w:t xml:space="preserve"> experiment with a </w:t>
      </w:r>
      <w:r w:rsidR="005001CE" w:rsidRPr="006C151E">
        <w:rPr>
          <w:rFonts w:asciiTheme="minorHAnsi" w:hAnsiTheme="minorHAnsi" w:cstheme="minorHAnsi"/>
        </w:rPr>
        <w:t xml:space="preserve">roadmap for assessment, teaching, and learning. </w:t>
      </w:r>
      <w:r w:rsidR="003D7662" w:rsidRPr="006C151E">
        <w:rPr>
          <w:rFonts w:asciiTheme="minorHAnsi" w:hAnsiTheme="minorHAnsi" w:cstheme="minorHAnsi"/>
        </w:rPr>
        <w:t xml:space="preserve"> </w:t>
      </w:r>
      <w:r w:rsidR="00AB4FA0" w:rsidRPr="006C151E">
        <w:rPr>
          <w:rFonts w:asciiTheme="minorHAnsi" w:hAnsiTheme="minorHAnsi" w:cstheme="minorHAnsi"/>
        </w:rPr>
        <w:t xml:space="preserve"> </w:t>
      </w:r>
    </w:p>
    <w:p w14:paraId="45D6A743" w14:textId="77777777" w:rsidR="00DF2072" w:rsidRDefault="00DF2072" w:rsidP="000B2465">
      <w:pPr>
        <w:rPr>
          <w:b/>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7"/>
        <w:gridCol w:w="2521"/>
        <w:gridCol w:w="2521"/>
        <w:gridCol w:w="2521"/>
      </w:tblGrid>
      <w:tr w:rsidR="00DF2072" w:rsidRPr="00B87EA0" w14:paraId="231010B1" w14:textId="77777777" w:rsidTr="006D7236">
        <w:tc>
          <w:tcPr>
            <w:tcW w:w="2517" w:type="dxa"/>
            <w:shd w:val="clear" w:color="auto" w:fill="BFBFBF" w:themeFill="background1" w:themeFillShade="BF"/>
          </w:tcPr>
          <w:p w14:paraId="56DB9C37" w14:textId="77777777" w:rsidR="00DF2072" w:rsidRPr="00B87EA0" w:rsidRDefault="00DF2072" w:rsidP="00C978D0">
            <w:pPr>
              <w:jc w:val="center"/>
              <w:rPr>
                <w:rFonts w:cstheme="minorHAnsi"/>
                <w:b/>
              </w:rPr>
            </w:pPr>
            <w:r w:rsidRPr="00B87EA0">
              <w:rPr>
                <w:rFonts w:cstheme="minorHAnsi"/>
                <w:b/>
              </w:rPr>
              <w:t>Major Course Learning Outcomes/</w:t>
            </w:r>
          </w:p>
          <w:p w14:paraId="4204D2E1" w14:textId="77777777" w:rsidR="00DF2072" w:rsidRDefault="00DF2072" w:rsidP="00C978D0">
            <w:pPr>
              <w:jc w:val="center"/>
              <w:rPr>
                <w:rFonts w:cstheme="minorHAnsi"/>
                <w:b/>
              </w:rPr>
            </w:pPr>
            <w:r w:rsidRPr="00B87EA0">
              <w:rPr>
                <w:rFonts w:cstheme="minorHAnsi"/>
                <w:b/>
              </w:rPr>
              <w:t>Desired Results</w:t>
            </w:r>
          </w:p>
          <w:p w14:paraId="4E1AE6F7" w14:textId="77777777" w:rsidR="005647BC" w:rsidRPr="00B87EA0" w:rsidRDefault="005647BC" w:rsidP="00C978D0">
            <w:pPr>
              <w:jc w:val="center"/>
              <w:rPr>
                <w:rFonts w:cstheme="minorHAnsi"/>
                <w:b/>
              </w:rPr>
            </w:pPr>
          </w:p>
        </w:tc>
        <w:tc>
          <w:tcPr>
            <w:tcW w:w="2521" w:type="dxa"/>
            <w:shd w:val="clear" w:color="auto" w:fill="BFBFBF" w:themeFill="background1" w:themeFillShade="BF"/>
          </w:tcPr>
          <w:p w14:paraId="791B7AC7" w14:textId="77777777" w:rsidR="00DF2072" w:rsidRPr="00B87EA0" w:rsidRDefault="00DF2072" w:rsidP="00C978D0">
            <w:pPr>
              <w:jc w:val="center"/>
              <w:rPr>
                <w:rFonts w:cstheme="minorHAnsi"/>
                <w:b/>
              </w:rPr>
            </w:pPr>
            <w:r w:rsidRPr="00B87EA0">
              <w:rPr>
                <w:rFonts w:cstheme="minorHAnsi"/>
                <w:b/>
              </w:rPr>
              <w:t>Evidence of Learning/</w:t>
            </w:r>
          </w:p>
          <w:p w14:paraId="2E421776" w14:textId="77777777" w:rsidR="00DF2072" w:rsidRPr="00B87EA0" w:rsidRDefault="00DF2072" w:rsidP="00C978D0">
            <w:pPr>
              <w:jc w:val="center"/>
              <w:rPr>
                <w:rFonts w:cstheme="minorHAnsi"/>
                <w:b/>
              </w:rPr>
            </w:pPr>
            <w:r w:rsidRPr="00B87EA0">
              <w:rPr>
                <w:rFonts w:cstheme="minorHAnsi"/>
                <w:b/>
              </w:rPr>
              <w:t>Assessment</w:t>
            </w:r>
          </w:p>
        </w:tc>
        <w:tc>
          <w:tcPr>
            <w:tcW w:w="2521" w:type="dxa"/>
            <w:shd w:val="clear" w:color="auto" w:fill="BFBFBF" w:themeFill="background1" w:themeFillShade="BF"/>
          </w:tcPr>
          <w:p w14:paraId="388AC463" w14:textId="77777777" w:rsidR="00DF2072" w:rsidRPr="00B87EA0" w:rsidRDefault="00DF2072" w:rsidP="00C978D0">
            <w:pPr>
              <w:jc w:val="center"/>
              <w:rPr>
                <w:rFonts w:cstheme="minorHAnsi"/>
                <w:b/>
              </w:rPr>
            </w:pPr>
            <w:r w:rsidRPr="00B87EA0">
              <w:rPr>
                <w:rFonts w:cstheme="minorHAnsi"/>
                <w:b/>
              </w:rPr>
              <w:t>Learning Activities</w:t>
            </w:r>
          </w:p>
        </w:tc>
        <w:tc>
          <w:tcPr>
            <w:tcW w:w="2521" w:type="dxa"/>
            <w:shd w:val="clear" w:color="auto" w:fill="BFBFBF" w:themeFill="background1" w:themeFillShade="BF"/>
          </w:tcPr>
          <w:p w14:paraId="3E9CDE7C" w14:textId="77777777" w:rsidR="00DF2072" w:rsidRPr="00B87EA0" w:rsidRDefault="00DF2072" w:rsidP="00C978D0">
            <w:pPr>
              <w:jc w:val="center"/>
              <w:rPr>
                <w:rFonts w:cstheme="minorHAnsi"/>
                <w:b/>
              </w:rPr>
            </w:pPr>
            <w:r w:rsidRPr="00B87EA0">
              <w:rPr>
                <w:rFonts w:cstheme="minorHAnsi"/>
                <w:b/>
              </w:rPr>
              <w:t>Modalities</w:t>
            </w:r>
          </w:p>
        </w:tc>
      </w:tr>
      <w:tr w:rsidR="00DF2072" w:rsidRPr="00B87EA0" w14:paraId="78602A81" w14:textId="77777777" w:rsidTr="006D7236">
        <w:tc>
          <w:tcPr>
            <w:tcW w:w="2517" w:type="dxa"/>
            <w:shd w:val="clear" w:color="auto" w:fill="auto"/>
          </w:tcPr>
          <w:p w14:paraId="3A5D2161" w14:textId="77777777" w:rsidR="00DF2072" w:rsidRPr="00161455" w:rsidRDefault="00CD1284" w:rsidP="00C978D0">
            <w:pPr>
              <w:jc w:val="center"/>
              <w:rPr>
                <w:rFonts w:cstheme="minorHAnsi"/>
              </w:rPr>
            </w:pPr>
            <w:r>
              <w:rPr>
                <w:rFonts w:cstheme="minorHAnsi"/>
              </w:rPr>
              <w:t>See</w:t>
            </w:r>
            <w:r w:rsidR="00161455">
              <w:rPr>
                <w:rFonts w:cstheme="minorHAnsi"/>
              </w:rPr>
              <w:t xml:space="preserve"> Student Learning Outcomes Sheet</w:t>
            </w:r>
          </w:p>
        </w:tc>
        <w:tc>
          <w:tcPr>
            <w:tcW w:w="2521" w:type="dxa"/>
            <w:shd w:val="clear" w:color="auto" w:fill="auto"/>
          </w:tcPr>
          <w:p w14:paraId="21D6603B" w14:textId="77777777" w:rsidR="00CD1284" w:rsidRDefault="00CD1284" w:rsidP="00C978D0">
            <w:pPr>
              <w:jc w:val="center"/>
              <w:rPr>
                <w:rFonts w:cstheme="minorHAnsi"/>
              </w:rPr>
            </w:pPr>
            <w:r>
              <w:rPr>
                <w:rFonts w:cstheme="minorHAnsi"/>
              </w:rPr>
              <w:t>Data Menu</w:t>
            </w:r>
          </w:p>
          <w:p w14:paraId="383670AE" w14:textId="77777777" w:rsidR="00CD1284" w:rsidRDefault="00CD1284" w:rsidP="00C978D0">
            <w:pPr>
              <w:jc w:val="center"/>
              <w:rPr>
                <w:rFonts w:cstheme="minorHAnsi"/>
              </w:rPr>
            </w:pPr>
            <w:r>
              <w:rPr>
                <w:rFonts w:cstheme="minorHAnsi"/>
              </w:rPr>
              <w:t>(pp. 1-2 of this worksheet)</w:t>
            </w:r>
          </w:p>
          <w:p w14:paraId="1B8D945C" w14:textId="77777777" w:rsidR="00DF2072" w:rsidRPr="00CD1284" w:rsidRDefault="00CD1284" w:rsidP="00C978D0">
            <w:pPr>
              <w:jc w:val="center"/>
              <w:rPr>
                <w:rFonts w:cstheme="minorHAnsi"/>
              </w:rPr>
            </w:pPr>
            <w:r>
              <w:rPr>
                <w:rFonts w:cstheme="minorHAnsi"/>
              </w:rPr>
              <w:t xml:space="preserve"> </w:t>
            </w:r>
          </w:p>
        </w:tc>
        <w:tc>
          <w:tcPr>
            <w:tcW w:w="2521" w:type="dxa"/>
            <w:shd w:val="clear" w:color="auto" w:fill="auto"/>
          </w:tcPr>
          <w:p w14:paraId="21815C66" w14:textId="1E446F38" w:rsidR="006D7236" w:rsidRPr="00244736" w:rsidRDefault="00244736" w:rsidP="00244736">
            <w:pPr>
              <w:jc w:val="center"/>
              <w:rPr>
                <w:rFonts w:cstheme="minorHAnsi"/>
              </w:rPr>
            </w:pPr>
            <w:r w:rsidRPr="00244736">
              <w:rPr>
                <w:rFonts w:cstheme="minorHAnsi"/>
              </w:rPr>
              <w:t xml:space="preserve">See </w:t>
            </w:r>
            <w:r w:rsidR="002B4CF6">
              <w:rPr>
                <w:rFonts w:cstheme="minorHAnsi"/>
              </w:rPr>
              <w:t>Pivot-Ready Alignment Table</w:t>
            </w:r>
          </w:p>
        </w:tc>
        <w:tc>
          <w:tcPr>
            <w:tcW w:w="2521" w:type="dxa"/>
            <w:shd w:val="clear" w:color="auto" w:fill="auto"/>
          </w:tcPr>
          <w:p w14:paraId="11C61D56" w14:textId="72C2A8F6" w:rsidR="00DF2072" w:rsidRPr="00B87EA0" w:rsidRDefault="002061DD" w:rsidP="00C978D0">
            <w:pPr>
              <w:jc w:val="center"/>
              <w:rPr>
                <w:rFonts w:cstheme="minorHAnsi"/>
                <w:b/>
              </w:rPr>
            </w:pPr>
            <w:r w:rsidRPr="00244736">
              <w:rPr>
                <w:rFonts w:cstheme="minorHAnsi"/>
              </w:rPr>
              <w:t xml:space="preserve">See </w:t>
            </w:r>
            <w:r>
              <w:rPr>
                <w:rFonts w:cstheme="minorHAnsi"/>
              </w:rPr>
              <w:t>Pivot-Ready Alignment Table</w:t>
            </w:r>
            <w:r w:rsidRPr="00B87EA0">
              <w:rPr>
                <w:rFonts w:cstheme="minorHAnsi"/>
                <w:b/>
              </w:rPr>
              <w:t xml:space="preserve"> </w:t>
            </w:r>
          </w:p>
        </w:tc>
      </w:tr>
      <w:tr w:rsidR="00DF2072" w:rsidRPr="00B87EA0" w14:paraId="56D3D9B7" w14:textId="77777777" w:rsidTr="006D7236">
        <w:tc>
          <w:tcPr>
            <w:tcW w:w="2517" w:type="dxa"/>
            <w:shd w:val="clear" w:color="auto" w:fill="auto"/>
          </w:tcPr>
          <w:p w14:paraId="1C4B94E5" w14:textId="77777777" w:rsidR="00DF2072" w:rsidRDefault="00DF2072" w:rsidP="00C978D0">
            <w:pPr>
              <w:jc w:val="center"/>
              <w:rPr>
                <w:rFonts w:cstheme="minorHAnsi"/>
                <w:b/>
              </w:rPr>
            </w:pPr>
          </w:p>
          <w:p w14:paraId="1A9BDCC0" w14:textId="77777777" w:rsidR="006D7236" w:rsidRDefault="006D7236" w:rsidP="00C978D0">
            <w:pPr>
              <w:jc w:val="center"/>
              <w:rPr>
                <w:rFonts w:cstheme="minorHAnsi"/>
                <w:b/>
              </w:rPr>
            </w:pPr>
          </w:p>
          <w:p w14:paraId="68707722" w14:textId="77777777" w:rsidR="006D7236" w:rsidRDefault="006D7236" w:rsidP="00C978D0">
            <w:pPr>
              <w:jc w:val="center"/>
              <w:rPr>
                <w:rFonts w:cstheme="minorHAnsi"/>
                <w:b/>
              </w:rPr>
            </w:pPr>
          </w:p>
          <w:p w14:paraId="3D9734D5" w14:textId="77777777" w:rsidR="006D7236" w:rsidRDefault="006D7236" w:rsidP="00C978D0">
            <w:pPr>
              <w:jc w:val="center"/>
              <w:rPr>
                <w:rFonts w:cstheme="minorHAnsi"/>
                <w:b/>
              </w:rPr>
            </w:pPr>
          </w:p>
          <w:p w14:paraId="6CD2B547" w14:textId="77777777" w:rsidR="008C4C7D" w:rsidRPr="00B87EA0" w:rsidRDefault="008C4C7D" w:rsidP="00C978D0">
            <w:pPr>
              <w:jc w:val="center"/>
              <w:rPr>
                <w:rFonts w:cstheme="minorHAnsi"/>
                <w:b/>
              </w:rPr>
            </w:pPr>
          </w:p>
        </w:tc>
        <w:tc>
          <w:tcPr>
            <w:tcW w:w="2521" w:type="dxa"/>
            <w:shd w:val="clear" w:color="auto" w:fill="auto"/>
          </w:tcPr>
          <w:p w14:paraId="6A816631" w14:textId="77777777" w:rsidR="00DF2072" w:rsidRPr="00B87EA0" w:rsidRDefault="00DF2072" w:rsidP="00C978D0">
            <w:pPr>
              <w:jc w:val="center"/>
              <w:rPr>
                <w:rFonts w:cstheme="minorHAnsi"/>
                <w:b/>
              </w:rPr>
            </w:pPr>
          </w:p>
        </w:tc>
        <w:tc>
          <w:tcPr>
            <w:tcW w:w="2521" w:type="dxa"/>
            <w:shd w:val="clear" w:color="auto" w:fill="auto"/>
          </w:tcPr>
          <w:p w14:paraId="013A5A52" w14:textId="77777777" w:rsidR="00DF2072" w:rsidRPr="00B87EA0" w:rsidRDefault="00DF2072" w:rsidP="00C978D0">
            <w:pPr>
              <w:jc w:val="center"/>
              <w:rPr>
                <w:rFonts w:cstheme="minorHAnsi"/>
                <w:b/>
              </w:rPr>
            </w:pPr>
          </w:p>
        </w:tc>
        <w:tc>
          <w:tcPr>
            <w:tcW w:w="2521" w:type="dxa"/>
            <w:shd w:val="clear" w:color="auto" w:fill="auto"/>
          </w:tcPr>
          <w:p w14:paraId="36A79A36" w14:textId="77777777" w:rsidR="00DF2072" w:rsidRPr="00B87EA0" w:rsidRDefault="00DF2072" w:rsidP="00C978D0">
            <w:pPr>
              <w:jc w:val="center"/>
              <w:rPr>
                <w:rFonts w:cstheme="minorHAnsi"/>
                <w:b/>
              </w:rPr>
            </w:pPr>
          </w:p>
        </w:tc>
      </w:tr>
      <w:tr w:rsidR="006D7236" w:rsidRPr="00B87EA0" w14:paraId="764F4161" w14:textId="77777777" w:rsidTr="006D7236">
        <w:tc>
          <w:tcPr>
            <w:tcW w:w="2517" w:type="dxa"/>
            <w:shd w:val="clear" w:color="auto" w:fill="auto"/>
          </w:tcPr>
          <w:p w14:paraId="18542D74" w14:textId="77777777" w:rsidR="006D7236" w:rsidRDefault="006D7236" w:rsidP="00C978D0">
            <w:pPr>
              <w:jc w:val="center"/>
              <w:rPr>
                <w:rFonts w:cstheme="minorHAnsi"/>
                <w:b/>
              </w:rPr>
            </w:pPr>
          </w:p>
          <w:p w14:paraId="70608B29" w14:textId="77777777" w:rsidR="006D7236" w:rsidRDefault="006D7236" w:rsidP="00C978D0">
            <w:pPr>
              <w:jc w:val="center"/>
              <w:rPr>
                <w:rFonts w:cstheme="minorHAnsi"/>
                <w:b/>
              </w:rPr>
            </w:pPr>
          </w:p>
          <w:p w14:paraId="42C7A3CC" w14:textId="77777777" w:rsidR="006D7236" w:rsidRDefault="006D7236" w:rsidP="00C978D0">
            <w:pPr>
              <w:jc w:val="center"/>
              <w:rPr>
                <w:rFonts w:cstheme="minorHAnsi"/>
                <w:b/>
              </w:rPr>
            </w:pPr>
          </w:p>
          <w:p w14:paraId="7FE3A558" w14:textId="77777777" w:rsidR="006D7236" w:rsidRDefault="006D7236" w:rsidP="00C978D0">
            <w:pPr>
              <w:jc w:val="center"/>
              <w:rPr>
                <w:rFonts w:cstheme="minorHAnsi"/>
                <w:b/>
              </w:rPr>
            </w:pPr>
          </w:p>
          <w:p w14:paraId="5B4B11CF" w14:textId="77777777" w:rsidR="006D7236" w:rsidRDefault="006D7236" w:rsidP="00C978D0">
            <w:pPr>
              <w:jc w:val="center"/>
              <w:rPr>
                <w:rFonts w:cstheme="minorHAnsi"/>
                <w:b/>
              </w:rPr>
            </w:pPr>
          </w:p>
        </w:tc>
        <w:tc>
          <w:tcPr>
            <w:tcW w:w="2521" w:type="dxa"/>
            <w:shd w:val="clear" w:color="auto" w:fill="auto"/>
          </w:tcPr>
          <w:p w14:paraId="69F72151" w14:textId="77777777" w:rsidR="006D7236" w:rsidRPr="00B87EA0" w:rsidRDefault="006D7236" w:rsidP="00C978D0">
            <w:pPr>
              <w:jc w:val="center"/>
              <w:rPr>
                <w:rFonts w:cstheme="minorHAnsi"/>
                <w:b/>
              </w:rPr>
            </w:pPr>
          </w:p>
        </w:tc>
        <w:tc>
          <w:tcPr>
            <w:tcW w:w="2521" w:type="dxa"/>
            <w:shd w:val="clear" w:color="auto" w:fill="auto"/>
          </w:tcPr>
          <w:p w14:paraId="48C60893" w14:textId="77777777" w:rsidR="006D7236" w:rsidRPr="00B87EA0" w:rsidRDefault="006D7236" w:rsidP="00C978D0">
            <w:pPr>
              <w:jc w:val="center"/>
              <w:rPr>
                <w:rFonts w:cstheme="minorHAnsi"/>
                <w:b/>
              </w:rPr>
            </w:pPr>
          </w:p>
        </w:tc>
        <w:tc>
          <w:tcPr>
            <w:tcW w:w="2521" w:type="dxa"/>
            <w:shd w:val="clear" w:color="auto" w:fill="auto"/>
          </w:tcPr>
          <w:p w14:paraId="7043DBAC" w14:textId="77777777" w:rsidR="006D7236" w:rsidRPr="00B87EA0" w:rsidRDefault="006D7236" w:rsidP="00C978D0">
            <w:pPr>
              <w:jc w:val="center"/>
              <w:rPr>
                <w:rFonts w:cstheme="minorHAnsi"/>
                <w:b/>
              </w:rPr>
            </w:pPr>
          </w:p>
        </w:tc>
      </w:tr>
      <w:tr w:rsidR="006D7236" w:rsidRPr="00B87EA0" w14:paraId="0AFE97EA" w14:textId="77777777" w:rsidTr="006D7236">
        <w:tc>
          <w:tcPr>
            <w:tcW w:w="2517" w:type="dxa"/>
            <w:shd w:val="clear" w:color="auto" w:fill="auto"/>
          </w:tcPr>
          <w:p w14:paraId="598C15A8" w14:textId="77777777" w:rsidR="006D7236" w:rsidRDefault="006D7236" w:rsidP="00C978D0">
            <w:pPr>
              <w:jc w:val="center"/>
              <w:rPr>
                <w:rFonts w:cstheme="minorHAnsi"/>
                <w:b/>
              </w:rPr>
            </w:pPr>
          </w:p>
          <w:p w14:paraId="6E27ABC4" w14:textId="77777777" w:rsidR="006D7236" w:rsidRDefault="006D7236" w:rsidP="00C978D0">
            <w:pPr>
              <w:jc w:val="center"/>
              <w:rPr>
                <w:rFonts w:cstheme="minorHAnsi"/>
                <w:b/>
              </w:rPr>
            </w:pPr>
          </w:p>
          <w:p w14:paraId="02F560F6" w14:textId="77777777" w:rsidR="006D7236" w:rsidRDefault="006D7236" w:rsidP="00C978D0">
            <w:pPr>
              <w:jc w:val="center"/>
              <w:rPr>
                <w:rFonts w:cstheme="minorHAnsi"/>
                <w:b/>
              </w:rPr>
            </w:pPr>
          </w:p>
          <w:p w14:paraId="1A95806E" w14:textId="77777777" w:rsidR="006D7236" w:rsidRDefault="006D7236" w:rsidP="00C978D0">
            <w:pPr>
              <w:jc w:val="center"/>
              <w:rPr>
                <w:rFonts w:cstheme="minorHAnsi"/>
                <w:b/>
              </w:rPr>
            </w:pPr>
          </w:p>
          <w:p w14:paraId="746CC53E" w14:textId="77777777" w:rsidR="006D7236" w:rsidRDefault="006D7236" w:rsidP="00C978D0">
            <w:pPr>
              <w:jc w:val="center"/>
              <w:rPr>
                <w:rFonts w:cstheme="minorHAnsi"/>
                <w:b/>
              </w:rPr>
            </w:pPr>
          </w:p>
        </w:tc>
        <w:tc>
          <w:tcPr>
            <w:tcW w:w="2521" w:type="dxa"/>
            <w:shd w:val="clear" w:color="auto" w:fill="auto"/>
          </w:tcPr>
          <w:p w14:paraId="0BD7BEBB" w14:textId="77777777" w:rsidR="006D7236" w:rsidRPr="00B87EA0" w:rsidRDefault="006D7236" w:rsidP="00C978D0">
            <w:pPr>
              <w:jc w:val="center"/>
              <w:rPr>
                <w:rFonts w:cstheme="minorHAnsi"/>
                <w:b/>
              </w:rPr>
            </w:pPr>
          </w:p>
        </w:tc>
        <w:tc>
          <w:tcPr>
            <w:tcW w:w="2521" w:type="dxa"/>
            <w:shd w:val="clear" w:color="auto" w:fill="auto"/>
          </w:tcPr>
          <w:p w14:paraId="6EBCD24A" w14:textId="77777777" w:rsidR="006D7236" w:rsidRPr="00B87EA0" w:rsidRDefault="006D7236" w:rsidP="00C978D0">
            <w:pPr>
              <w:jc w:val="center"/>
              <w:rPr>
                <w:rFonts w:cstheme="minorHAnsi"/>
                <w:b/>
              </w:rPr>
            </w:pPr>
          </w:p>
        </w:tc>
        <w:tc>
          <w:tcPr>
            <w:tcW w:w="2521" w:type="dxa"/>
            <w:shd w:val="clear" w:color="auto" w:fill="auto"/>
          </w:tcPr>
          <w:p w14:paraId="5CDC503A" w14:textId="77777777" w:rsidR="006D7236" w:rsidRPr="00B87EA0" w:rsidRDefault="006D7236" w:rsidP="00C978D0">
            <w:pPr>
              <w:jc w:val="center"/>
              <w:rPr>
                <w:rFonts w:cstheme="minorHAnsi"/>
                <w:b/>
              </w:rPr>
            </w:pPr>
          </w:p>
        </w:tc>
      </w:tr>
      <w:tr w:rsidR="006D7236" w:rsidRPr="00B87EA0" w14:paraId="55D55D6E" w14:textId="77777777" w:rsidTr="006D7236">
        <w:tc>
          <w:tcPr>
            <w:tcW w:w="2517" w:type="dxa"/>
            <w:shd w:val="clear" w:color="auto" w:fill="auto"/>
          </w:tcPr>
          <w:p w14:paraId="6416B37D" w14:textId="77777777" w:rsidR="006D7236" w:rsidRDefault="006D7236" w:rsidP="00C978D0">
            <w:pPr>
              <w:jc w:val="center"/>
              <w:rPr>
                <w:rFonts w:cstheme="minorHAnsi"/>
                <w:b/>
              </w:rPr>
            </w:pPr>
          </w:p>
          <w:p w14:paraId="55F0A730" w14:textId="77777777" w:rsidR="006D7236" w:rsidRDefault="006D7236" w:rsidP="00C978D0">
            <w:pPr>
              <w:jc w:val="center"/>
              <w:rPr>
                <w:rFonts w:cstheme="minorHAnsi"/>
                <w:b/>
              </w:rPr>
            </w:pPr>
          </w:p>
          <w:p w14:paraId="0C4AC20B" w14:textId="77777777" w:rsidR="006D7236" w:rsidRDefault="006D7236" w:rsidP="00C978D0">
            <w:pPr>
              <w:jc w:val="center"/>
              <w:rPr>
                <w:rFonts w:cstheme="minorHAnsi"/>
                <w:b/>
              </w:rPr>
            </w:pPr>
          </w:p>
          <w:p w14:paraId="2B02DF2A" w14:textId="77777777" w:rsidR="006D7236" w:rsidRDefault="006D7236" w:rsidP="00C978D0">
            <w:pPr>
              <w:jc w:val="center"/>
              <w:rPr>
                <w:rFonts w:cstheme="minorHAnsi"/>
                <w:b/>
              </w:rPr>
            </w:pPr>
          </w:p>
          <w:p w14:paraId="28380675" w14:textId="77777777" w:rsidR="006D7236" w:rsidRDefault="006D7236" w:rsidP="00C978D0">
            <w:pPr>
              <w:jc w:val="center"/>
              <w:rPr>
                <w:rFonts w:cstheme="minorHAnsi"/>
                <w:b/>
              </w:rPr>
            </w:pPr>
          </w:p>
        </w:tc>
        <w:tc>
          <w:tcPr>
            <w:tcW w:w="2521" w:type="dxa"/>
            <w:shd w:val="clear" w:color="auto" w:fill="auto"/>
          </w:tcPr>
          <w:p w14:paraId="085C72D3" w14:textId="77777777" w:rsidR="006D7236" w:rsidRPr="00B87EA0" w:rsidRDefault="006D7236" w:rsidP="00C978D0">
            <w:pPr>
              <w:jc w:val="center"/>
              <w:rPr>
                <w:rFonts w:cstheme="minorHAnsi"/>
                <w:b/>
              </w:rPr>
            </w:pPr>
          </w:p>
        </w:tc>
        <w:tc>
          <w:tcPr>
            <w:tcW w:w="2521" w:type="dxa"/>
            <w:shd w:val="clear" w:color="auto" w:fill="auto"/>
          </w:tcPr>
          <w:p w14:paraId="5DADC498" w14:textId="77777777" w:rsidR="006D7236" w:rsidRPr="00B87EA0" w:rsidRDefault="006D7236" w:rsidP="00C978D0">
            <w:pPr>
              <w:jc w:val="center"/>
              <w:rPr>
                <w:rFonts w:cstheme="minorHAnsi"/>
                <w:b/>
              </w:rPr>
            </w:pPr>
          </w:p>
        </w:tc>
        <w:tc>
          <w:tcPr>
            <w:tcW w:w="2521" w:type="dxa"/>
            <w:shd w:val="clear" w:color="auto" w:fill="auto"/>
          </w:tcPr>
          <w:p w14:paraId="6E5BE10B" w14:textId="77777777" w:rsidR="006D7236" w:rsidRPr="00B87EA0" w:rsidRDefault="006D7236" w:rsidP="00C978D0">
            <w:pPr>
              <w:jc w:val="center"/>
              <w:rPr>
                <w:rFonts w:cstheme="minorHAnsi"/>
                <w:b/>
              </w:rPr>
            </w:pPr>
          </w:p>
        </w:tc>
      </w:tr>
      <w:tr w:rsidR="006D7236" w:rsidRPr="00B87EA0" w14:paraId="2C6DD807" w14:textId="77777777" w:rsidTr="006D7236">
        <w:tc>
          <w:tcPr>
            <w:tcW w:w="2517" w:type="dxa"/>
            <w:shd w:val="clear" w:color="auto" w:fill="auto"/>
          </w:tcPr>
          <w:p w14:paraId="756E174E" w14:textId="77777777" w:rsidR="006D7236" w:rsidRDefault="006D7236" w:rsidP="00C978D0">
            <w:pPr>
              <w:jc w:val="center"/>
              <w:rPr>
                <w:rFonts w:cstheme="minorHAnsi"/>
                <w:b/>
              </w:rPr>
            </w:pPr>
          </w:p>
          <w:p w14:paraId="1B80FD14" w14:textId="77777777" w:rsidR="006D7236" w:rsidRDefault="006D7236" w:rsidP="00C978D0">
            <w:pPr>
              <w:jc w:val="center"/>
              <w:rPr>
                <w:rFonts w:cstheme="minorHAnsi"/>
                <w:b/>
              </w:rPr>
            </w:pPr>
          </w:p>
          <w:p w14:paraId="3E79B7EA" w14:textId="77777777" w:rsidR="006D7236" w:rsidRDefault="006D7236" w:rsidP="00C978D0">
            <w:pPr>
              <w:jc w:val="center"/>
              <w:rPr>
                <w:rFonts w:cstheme="minorHAnsi"/>
                <w:b/>
              </w:rPr>
            </w:pPr>
          </w:p>
          <w:p w14:paraId="5E916911" w14:textId="77777777" w:rsidR="006D7236" w:rsidRDefault="006D7236" w:rsidP="00C978D0">
            <w:pPr>
              <w:jc w:val="center"/>
              <w:rPr>
                <w:rFonts w:cstheme="minorHAnsi"/>
                <w:b/>
              </w:rPr>
            </w:pPr>
          </w:p>
          <w:p w14:paraId="0B78A1F2" w14:textId="77777777" w:rsidR="006D7236" w:rsidRDefault="006D7236" w:rsidP="00C978D0">
            <w:pPr>
              <w:jc w:val="center"/>
              <w:rPr>
                <w:rFonts w:cstheme="minorHAnsi"/>
                <w:b/>
              </w:rPr>
            </w:pPr>
          </w:p>
        </w:tc>
        <w:tc>
          <w:tcPr>
            <w:tcW w:w="2521" w:type="dxa"/>
            <w:shd w:val="clear" w:color="auto" w:fill="auto"/>
          </w:tcPr>
          <w:p w14:paraId="2DE9828D" w14:textId="77777777" w:rsidR="006D7236" w:rsidRPr="00B87EA0" w:rsidRDefault="006D7236" w:rsidP="00C978D0">
            <w:pPr>
              <w:jc w:val="center"/>
              <w:rPr>
                <w:rFonts w:cstheme="minorHAnsi"/>
                <w:b/>
              </w:rPr>
            </w:pPr>
          </w:p>
        </w:tc>
        <w:tc>
          <w:tcPr>
            <w:tcW w:w="2521" w:type="dxa"/>
            <w:shd w:val="clear" w:color="auto" w:fill="auto"/>
          </w:tcPr>
          <w:p w14:paraId="7242398E" w14:textId="77777777" w:rsidR="006D7236" w:rsidRPr="00B87EA0" w:rsidRDefault="006D7236" w:rsidP="00C978D0">
            <w:pPr>
              <w:jc w:val="center"/>
              <w:rPr>
                <w:rFonts w:cstheme="minorHAnsi"/>
                <w:b/>
              </w:rPr>
            </w:pPr>
          </w:p>
        </w:tc>
        <w:tc>
          <w:tcPr>
            <w:tcW w:w="2521" w:type="dxa"/>
            <w:shd w:val="clear" w:color="auto" w:fill="auto"/>
          </w:tcPr>
          <w:p w14:paraId="71A6F0B9" w14:textId="77777777" w:rsidR="006D7236" w:rsidRPr="00B87EA0" w:rsidRDefault="006D7236" w:rsidP="00C978D0">
            <w:pPr>
              <w:jc w:val="center"/>
              <w:rPr>
                <w:rFonts w:cstheme="minorHAnsi"/>
                <w:b/>
              </w:rPr>
            </w:pPr>
          </w:p>
        </w:tc>
      </w:tr>
    </w:tbl>
    <w:p w14:paraId="4047A6A2" w14:textId="77777777" w:rsidR="00A76091" w:rsidRDefault="00A76091" w:rsidP="006D7236">
      <w:pPr>
        <w:jc w:val="center"/>
      </w:pPr>
    </w:p>
    <w:p w14:paraId="0D0550E6" w14:textId="592D7754" w:rsidR="006D7236" w:rsidRDefault="00930788" w:rsidP="00C875DD">
      <w:pPr>
        <w:jc w:val="center"/>
        <w:outlineLvl w:val="0"/>
      </w:pPr>
      <w:r>
        <w:t>For more information, please contact the</w:t>
      </w:r>
      <w:r w:rsidR="00F031DA">
        <w:t xml:space="preserve"> </w:t>
      </w:r>
    </w:p>
    <w:p w14:paraId="1FFD3E8E" w14:textId="77777777" w:rsidR="000B2465" w:rsidRPr="005001CE" w:rsidRDefault="00F031DA" w:rsidP="005001CE">
      <w:pPr>
        <w:jc w:val="center"/>
      </w:pPr>
      <w:r>
        <w:t xml:space="preserve">Director of Academic Assessment at </w:t>
      </w:r>
      <w:hyperlink r:id="rId14" w:history="1">
        <w:r w:rsidRPr="003926C6">
          <w:rPr>
            <w:rStyle w:val="Hyperlink"/>
          </w:rPr>
          <w:t>christina.paguyo@du.edu</w:t>
        </w:r>
      </w:hyperlink>
      <w:r>
        <w:t>.</w:t>
      </w:r>
    </w:p>
    <w:p w14:paraId="51558D80" w14:textId="1701F4B1" w:rsidR="001D4FFE" w:rsidRDefault="00B235F2"/>
    <w:p w14:paraId="546250E9" w14:textId="300164AE" w:rsidR="0081736E" w:rsidRPr="00CC400A" w:rsidRDefault="0081736E" w:rsidP="00C875DD">
      <w:pPr>
        <w:outlineLvl w:val="0"/>
        <w:rPr>
          <w:b/>
          <w:sz w:val="32"/>
          <w:szCs w:val="32"/>
        </w:rPr>
      </w:pPr>
      <w:r w:rsidRPr="00CC400A">
        <w:rPr>
          <w:b/>
          <w:sz w:val="32"/>
          <w:szCs w:val="32"/>
        </w:rPr>
        <w:lastRenderedPageBreak/>
        <w:t xml:space="preserve">References </w:t>
      </w:r>
    </w:p>
    <w:p w14:paraId="408041B9" w14:textId="663FA74E" w:rsidR="00AB1B30" w:rsidRDefault="00AB1B30">
      <w:pPr>
        <w:rPr>
          <w:b/>
        </w:rPr>
      </w:pPr>
    </w:p>
    <w:p w14:paraId="5AF0B4B7" w14:textId="77777777" w:rsidR="00C02FC3" w:rsidRDefault="00C02FC3" w:rsidP="002F5F35">
      <w:r w:rsidRPr="00C02FC3">
        <w:t xml:space="preserve">Brookfield, S. (2003). Understanding classroom dynamics: The Critical Incident Questionnaire. </w:t>
      </w:r>
    </w:p>
    <w:p w14:paraId="37E6D40E" w14:textId="075820D8" w:rsidR="00C02FC3" w:rsidRDefault="00C02FC3" w:rsidP="00C02FC3">
      <w:pPr>
        <w:ind w:left="720"/>
      </w:pPr>
      <w:r w:rsidRPr="00C02FC3">
        <w:t xml:space="preserve">In, S.N. Bernstein (ed.). </w:t>
      </w:r>
      <w:r w:rsidRPr="00BD3929">
        <w:rPr>
          <w:i/>
        </w:rPr>
        <w:t>Teaching developmental writing: Background readings</w:t>
      </w:r>
      <w:r w:rsidRPr="00C02FC3">
        <w:t>. (2nd ed.). Boston, MA: Bedford/St. Martin’s Press.</w:t>
      </w:r>
    </w:p>
    <w:p w14:paraId="1EE69AD4" w14:textId="77777777" w:rsidR="00C02FC3" w:rsidRDefault="00C02FC3" w:rsidP="002F5F35"/>
    <w:p w14:paraId="2C9A6B9D" w14:textId="2D61E04C" w:rsidR="002F5F35" w:rsidRDefault="002F5F35" w:rsidP="002F5F35">
      <w:r w:rsidRPr="0013338A">
        <w:t xml:space="preserve">Center for the Enhancement of Learning &amp; Teaching. (n.d.) </w:t>
      </w:r>
      <w:r w:rsidRPr="002F5F35">
        <w:rPr>
          <w:i/>
        </w:rPr>
        <w:t>CELT tip sheets: The minute paper</w:t>
      </w:r>
      <w:r w:rsidRPr="0013338A">
        <w:t xml:space="preserve">. </w:t>
      </w:r>
    </w:p>
    <w:p w14:paraId="3B1F33A9" w14:textId="77777777" w:rsidR="002F5F35" w:rsidRDefault="002F5F35" w:rsidP="002F5F35">
      <w:pPr>
        <w:ind w:firstLine="720"/>
      </w:pPr>
      <w:r w:rsidRPr="0013338A">
        <w:t>Tufts University. Retrieved from https://provost.tufts.edu/celt/files/MinutePaper.pdf</w:t>
      </w:r>
    </w:p>
    <w:p w14:paraId="24D0A793" w14:textId="77777777" w:rsidR="002F5F35" w:rsidRDefault="002F5F35" w:rsidP="006E7077"/>
    <w:p w14:paraId="71E24F9F" w14:textId="370DBB21" w:rsidR="006E7077" w:rsidRDefault="006E7077" w:rsidP="00C875DD">
      <w:pPr>
        <w:outlineLvl w:val="0"/>
      </w:pPr>
      <w:proofErr w:type="spellStart"/>
      <w:r>
        <w:t>Leutenegger</w:t>
      </w:r>
      <w:proofErr w:type="spellEnd"/>
      <w:r>
        <w:t xml:space="preserve">, S. (2020). </w:t>
      </w:r>
      <w:r w:rsidRPr="006E7077">
        <w:rPr>
          <w:i/>
        </w:rPr>
        <w:t>Mitigating increasing inequity as we move online</w:t>
      </w:r>
      <w:r>
        <w:t xml:space="preserve">. Retrieved from </w:t>
      </w:r>
    </w:p>
    <w:p w14:paraId="0626563B" w14:textId="01F4E713" w:rsidR="006E7077" w:rsidRDefault="00B235F2" w:rsidP="006E7077">
      <w:pPr>
        <w:ind w:firstLine="720"/>
      </w:pPr>
      <w:hyperlink r:id="rId15" w:history="1">
        <w:r w:rsidR="006E7077" w:rsidRPr="009D717C">
          <w:rPr>
            <w:rStyle w:val="Hyperlink"/>
          </w:rPr>
          <w:t>https://otl.du.edu/mitigating-increasing-inequity-as-we-move-online/</w:t>
        </w:r>
      </w:hyperlink>
    </w:p>
    <w:p w14:paraId="62B28308" w14:textId="7559C3D0" w:rsidR="00E73FBA" w:rsidRDefault="00E73FBA" w:rsidP="00E73FBA"/>
    <w:p w14:paraId="2984F0CF" w14:textId="77777777" w:rsidR="00E73FBA" w:rsidRDefault="00E73FBA" w:rsidP="00C875DD">
      <w:pPr>
        <w:outlineLvl w:val="0"/>
      </w:pPr>
      <w:r>
        <w:t xml:space="preserve">Pitts, V. (2020). </w:t>
      </w:r>
      <w:r>
        <w:rPr>
          <w:i/>
        </w:rPr>
        <w:t xml:space="preserve">Course Design Institute. </w:t>
      </w:r>
      <w:r>
        <w:t xml:space="preserve">Denver, CO: Office of Teaching and Learning, University </w:t>
      </w:r>
    </w:p>
    <w:p w14:paraId="0FB9F0B6" w14:textId="5EE59B55" w:rsidR="00E73FBA" w:rsidRPr="00E73FBA" w:rsidRDefault="00E73FBA" w:rsidP="00E73FBA">
      <w:pPr>
        <w:ind w:firstLine="720"/>
      </w:pPr>
      <w:r>
        <w:t xml:space="preserve">of Denver. </w:t>
      </w:r>
    </w:p>
    <w:p w14:paraId="62203ACC" w14:textId="097C8811" w:rsidR="00191BA8" w:rsidRDefault="00191BA8" w:rsidP="00191BA8"/>
    <w:p w14:paraId="46BC9684" w14:textId="77777777" w:rsidR="00982745" w:rsidRDefault="00191BA8" w:rsidP="00C875DD">
      <w:pPr>
        <w:outlineLvl w:val="0"/>
        <w:rPr>
          <w:rFonts w:cstheme="minorHAnsi"/>
        </w:rPr>
      </w:pPr>
      <w:proofErr w:type="spellStart"/>
      <w:r>
        <w:t>Sponsler</w:t>
      </w:r>
      <w:proofErr w:type="spellEnd"/>
      <w:r>
        <w:t xml:space="preserve">, L. (2020). </w:t>
      </w:r>
      <w:r w:rsidR="005F3547" w:rsidRPr="00371CCF">
        <w:rPr>
          <w:rFonts w:cstheme="minorHAnsi"/>
          <w:i/>
        </w:rPr>
        <w:t>How I’m using my summer to set myself up for the fall</w:t>
      </w:r>
      <w:r w:rsidR="005F3547">
        <w:rPr>
          <w:rFonts w:cstheme="minorHAnsi"/>
        </w:rPr>
        <w:t xml:space="preserve">. </w:t>
      </w:r>
      <w:r w:rsidR="00371CCF">
        <w:rPr>
          <w:rFonts w:cstheme="minorHAnsi"/>
        </w:rPr>
        <w:t xml:space="preserve">Retrieved from </w:t>
      </w:r>
    </w:p>
    <w:p w14:paraId="2C8C78BC" w14:textId="3C7D69D8" w:rsidR="00982745" w:rsidRDefault="00B235F2" w:rsidP="00982745">
      <w:pPr>
        <w:ind w:firstLine="720"/>
      </w:pPr>
      <w:hyperlink r:id="rId16" w:history="1">
        <w:r w:rsidR="00982745" w:rsidRPr="009D717C">
          <w:rPr>
            <w:rStyle w:val="Hyperlink"/>
          </w:rPr>
          <w:t>https://otl.du.edu/blog-2/</w:t>
        </w:r>
      </w:hyperlink>
    </w:p>
    <w:p w14:paraId="47779A0D" w14:textId="6E12A532" w:rsidR="005F3547" w:rsidRPr="00B87EA0" w:rsidRDefault="005F3547" w:rsidP="005F3547">
      <w:pPr>
        <w:rPr>
          <w:rFonts w:cstheme="minorHAnsi"/>
        </w:rPr>
      </w:pPr>
    </w:p>
    <w:p w14:paraId="00CCF38F" w14:textId="77777777" w:rsidR="003510D0" w:rsidRDefault="003510D0" w:rsidP="003510D0">
      <w:r w:rsidRPr="003510D0">
        <w:t xml:space="preserve">Tollefson, S. (2005). </w:t>
      </w:r>
      <w:r w:rsidRPr="00222A71">
        <w:rPr>
          <w:i/>
        </w:rPr>
        <w:t>Sample midterm evaluations</w:t>
      </w:r>
      <w:r w:rsidRPr="003510D0">
        <w:t xml:space="preserve">. Office of Educational Development. </w:t>
      </w:r>
    </w:p>
    <w:p w14:paraId="0000FE78" w14:textId="32C416F1" w:rsidR="003510D0" w:rsidRDefault="003510D0" w:rsidP="003510D0">
      <w:pPr>
        <w:ind w:left="720"/>
      </w:pPr>
      <w:r w:rsidRPr="003510D0">
        <w:t>University of California, Berkeley. Retrieved from https://teaching.berkeley.edu/sites/default/files/sample_midterm_evals.pdf</w:t>
      </w:r>
    </w:p>
    <w:p w14:paraId="27B0DBD7" w14:textId="77777777" w:rsidR="009025F4" w:rsidRDefault="009025F4" w:rsidP="003510D0">
      <w:pPr>
        <w:ind w:left="720"/>
      </w:pPr>
    </w:p>
    <w:p w14:paraId="4C6DF93A" w14:textId="31FF000F" w:rsidR="006E7077" w:rsidRDefault="006E7077" w:rsidP="006E7077"/>
    <w:p w14:paraId="33024EF4" w14:textId="50529E6F" w:rsidR="006E7077" w:rsidRPr="006E7077" w:rsidRDefault="006E7077"/>
    <w:p w14:paraId="54BAF219" w14:textId="28AFB3FB" w:rsidR="00AB1B30" w:rsidRPr="00AB1B30" w:rsidRDefault="00AB1B30"/>
    <w:p w14:paraId="3D9C42AA" w14:textId="2EB64EF2" w:rsidR="0081736E" w:rsidRDefault="0081736E"/>
    <w:p w14:paraId="22FF75EE" w14:textId="77777777" w:rsidR="0081736E" w:rsidRDefault="0081736E"/>
    <w:sectPr w:rsidR="0081736E" w:rsidSect="004D5E58">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93183" w14:textId="77777777" w:rsidR="00B235F2" w:rsidRDefault="00B235F2" w:rsidP="000B2465">
      <w:r>
        <w:separator/>
      </w:r>
    </w:p>
  </w:endnote>
  <w:endnote w:type="continuationSeparator" w:id="0">
    <w:p w14:paraId="76C10290" w14:textId="77777777" w:rsidR="00B235F2" w:rsidRDefault="00B235F2" w:rsidP="000B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DIN Alternate">
    <w:panose1 w:val="020B0500000000000000"/>
    <w:charset w:val="4D"/>
    <w:family w:val="swiss"/>
    <w:pitch w:val="variable"/>
    <w:sig w:usb0="8000002F" w:usb1="10000048" w:usb2="00000000" w:usb3="00000000" w:csb0="00000111" w:csb1="00000000"/>
  </w:font>
  <w:font w:name="Xingkai SC Light">
    <w:panose1 w:val="02010600040101010101"/>
    <w:charset w:val="86"/>
    <w:family w:val="auto"/>
    <w:pitch w:val="variable"/>
    <w:sig w:usb0="00000287" w:usb1="080F0000" w:usb2="00000010" w:usb3="00000000" w:csb0="0004009F" w:csb1="00000000"/>
  </w:font>
  <w:font w:name="Nanum Brush Script">
    <w:panose1 w:val="03060600000000000000"/>
    <w:charset w:val="81"/>
    <w:family w:val="script"/>
    <w:pitch w:val="variable"/>
    <w:sig w:usb0="800002A7" w:usb1="09D7FCFB" w:usb2="00000010" w:usb3="00000000" w:csb0="00280001"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74685730"/>
      <w:docPartObj>
        <w:docPartGallery w:val="Page Numbers (Bottom of Page)"/>
        <w:docPartUnique/>
      </w:docPartObj>
    </w:sdtPr>
    <w:sdtEndPr>
      <w:rPr>
        <w:rStyle w:val="PageNumber"/>
      </w:rPr>
    </w:sdtEndPr>
    <w:sdtContent>
      <w:p w14:paraId="553A1552" w14:textId="77777777" w:rsidR="00A545BC" w:rsidRDefault="00E34B28" w:rsidP="000D26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50C7DA" w14:textId="77777777" w:rsidR="00A545BC" w:rsidRDefault="00B235F2" w:rsidP="00A545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1756595"/>
      <w:docPartObj>
        <w:docPartGallery w:val="Page Numbers (Bottom of Page)"/>
        <w:docPartUnique/>
      </w:docPartObj>
    </w:sdtPr>
    <w:sdtEndPr>
      <w:rPr>
        <w:rStyle w:val="PageNumber"/>
      </w:rPr>
    </w:sdtEndPr>
    <w:sdtContent>
      <w:p w14:paraId="455C9595" w14:textId="77777777" w:rsidR="00A545BC" w:rsidRDefault="00E34B28" w:rsidP="000D26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E35378" w14:textId="43EB1B29" w:rsidR="00A545BC" w:rsidRDefault="00201E0A" w:rsidP="00A545BC">
    <w:pPr>
      <w:pStyle w:val="Footer"/>
      <w:ind w:right="360"/>
    </w:pPr>
    <w:r>
      <w:rPr>
        <w:noProof/>
      </w:rPr>
      <w:drawing>
        <wp:inline distT="0" distB="0" distL="0" distR="0" wp14:anchorId="2D7DC93D" wp14:editId="27E15C6E">
          <wp:extent cx="1278965" cy="494146"/>
          <wp:effectExtent l="0" t="0" r="381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LLogo.png"/>
                  <pic:cNvPicPr/>
                </pic:nvPicPr>
                <pic:blipFill>
                  <a:blip r:embed="rId1">
                    <a:extLst>
                      <a:ext uri="{28A0092B-C50C-407E-A947-70E740481C1C}">
                        <a14:useLocalDpi xmlns:a14="http://schemas.microsoft.com/office/drawing/2010/main" val="0"/>
                      </a:ext>
                    </a:extLst>
                  </a:blip>
                  <a:stretch>
                    <a:fillRect/>
                  </a:stretch>
                </pic:blipFill>
                <pic:spPr>
                  <a:xfrm>
                    <a:off x="0" y="0"/>
                    <a:ext cx="1366967" cy="5281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DC522" w14:textId="77777777" w:rsidR="00B235F2" w:rsidRDefault="00B235F2" w:rsidP="000B2465">
      <w:r>
        <w:separator/>
      </w:r>
    </w:p>
  </w:footnote>
  <w:footnote w:type="continuationSeparator" w:id="0">
    <w:p w14:paraId="3C85EBFC" w14:textId="77777777" w:rsidR="00B235F2" w:rsidRDefault="00B235F2" w:rsidP="000B2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337C" w14:textId="7B52C030" w:rsidR="00843EA9" w:rsidRDefault="00843EA9">
    <w:pPr>
      <w:pStyle w:val="Header"/>
    </w:pPr>
    <w:r>
      <w:rPr>
        <w:noProof/>
      </w:rPr>
      <w:drawing>
        <wp:anchor distT="0" distB="0" distL="114300" distR="114300" simplePos="0" relativeHeight="251658240" behindDoc="1" locked="0" layoutInCell="1" allowOverlap="1" wp14:anchorId="2152A73E" wp14:editId="13F59623">
          <wp:simplePos x="0" y="0"/>
          <wp:positionH relativeFrom="column">
            <wp:posOffset>2538095</wp:posOffset>
          </wp:positionH>
          <wp:positionV relativeFrom="paragraph">
            <wp:posOffset>-85920</wp:posOffset>
          </wp:positionV>
          <wp:extent cx="890954" cy="34616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6-10 at 1.45.02 PM.png"/>
                  <pic:cNvPicPr/>
                </pic:nvPicPr>
                <pic:blipFill>
                  <a:blip r:embed="rId1">
                    <a:extLst>
                      <a:ext uri="{28A0092B-C50C-407E-A947-70E740481C1C}">
                        <a14:useLocalDpi xmlns:a14="http://schemas.microsoft.com/office/drawing/2010/main" val="0"/>
                      </a:ext>
                    </a:extLst>
                  </a:blip>
                  <a:stretch>
                    <a:fillRect/>
                  </a:stretch>
                </pic:blipFill>
                <pic:spPr>
                  <a:xfrm>
                    <a:off x="0" y="0"/>
                    <a:ext cx="890954" cy="346167"/>
                  </a:xfrm>
                  <a:prstGeom prst="rect">
                    <a:avLst/>
                  </a:prstGeom>
                </pic:spPr>
              </pic:pic>
            </a:graphicData>
          </a:graphic>
          <wp14:sizeRelH relativeFrom="page">
            <wp14:pctWidth>0</wp14:pctWidth>
          </wp14:sizeRelH>
          <wp14:sizeRelV relativeFrom="page">
            <wp14:pctHeight>0</wp14:pctHeight>
          </wp14:sizeRelV>
        </wp:anchor>
      </w:drawing>
    </w:r>
  </w:p>
  <w:p w14:paraId="44BDEE62" w14:textId="696D08DF" w:rsidR="0023690B" w:rsidRPr="00F735DF" w:rsidRDefault="00843EA9">
    <w:pPr>
      <w:pStyle w:val="Header"/>
      <w:rPr>
        <w:rFonts w:ascii="DIN Alternate" w:eastAsia="Nanum Brush Script" w:hAnsi="DIN Alternate" w:cs="Gill Sans Light"/>
        <w:color w:val="4472C4" w:themeColor="accent1"/>
        <w:sz w:val="20"/>
        <w:szCs w:val="20"/>
      </w:rPr>
    </w:pPr>
    <w:r w:rsidRPr="0023690B">
      <w:rPr>
        <w:rFonts w:ascii="DIN Alternate" w:eastAsia="Xingkai SC Light" w:hAnsi="DIN Alternate"/>
      </w:rPr>
      <w:tab/>
    </w:r>
    <w:r w:rsidR="00B07F07" w:rsidRPr="00F735DF">
      <w:rPr>
        <w:rFonts w:ascii="DIN Alternate" w:eastAsia="Xingkai SC Light" w:hAnsi="DIN Alternate"/>
        <w:color w:val="4472C4" w:themeColor="accent1"/>
        <w:sz w:val="20"/>
        <w:szCs w:val="20"/>
      </w:rPr>
      <w:t xml:space="preserve">Christina H. </w:t>
    </w:r>
    <w:r w:rsidR="0023690B" w:rsidRPr="00F735DF">
      <w:rPr>
        <w:rFonts w:ascii="DIN Alternate" w:eastAsia="Nanum Brush Script" w:hAnsi="DIN Alternate" w:cs="Gill Sans Light"/>
        <w:color w:val="4472C4" w:themeColor="accent1"/>
        <w:sz w:val="20"/>
        <w:szCs w:val="20"/>
      </w:rPr>
      <w:t>Paguyo</w:t>
    </w:r>
    <w:r w:rsidRPr="00F735DF">
      <w:rPr>
        <w:rFonts w:ascii="DIN Alternate" w:eastAsia="Nanum Brush Script" w:hAnsi="DIN Alternate" w:cs="Gill Sans Light"/>
        <w:color w:val="4472C4" w:themeColor="accent1"/>
        <w:sz w:val="20"/>
        <w:szCs w:val="20"/>
      </w:rPr>
      <w:t xml:space="preserve">, </w:t>
    </w:r>
    <w:r w:rsidRPr="00F735DF">
      <w:rPr>
        <w:rFonts w:ascii="DIN Alternate" w:eastAsia="Nanum Brush Script" w:hAnsi="DIN Alternate" w:cs="Gill Sans Light"/>
        <w:color w:val="4472C4" w:themeColor="accent1"/>
        <w:sz w:val="16"/>
        <w:szCs w:val="16"/>
      </w:rPr>
      <w:t>Ph</w:t>
    </w:r>
    <w:r w:rsidR="00B07F07" w:rsidRPr="00F735DF">
      <w:rPr>
        <w:rFonts w:ascii="DIN Alternate" w:eastAsia="Nanum Brush Script" w:hAnsi="DIN Alternate" w:cs="Gill Sans Light"/>
        <w:color w:val="4472C4" w:themeColor="accent1"/>
        <w:sz w:val="16"/>
        <w:szCs w:val="16"/>
      </w:rPr>
      <w:t>D</w:t>
    </w:r>
  </w:p>
  <w:p w14:paraId="485F5380" w14:textId="7067EB14" w:rsidR="0023690B" w:rsidRDefault="0023690B" w:rsidP="0023690B">
    <w:pPr>
      <w:pStyle w:val="Header"/>
      <w:jc w:val="center"/>
      <w:rPr>
        <w:rFonts w:ascii="DIN Alternate" w:eastAsia="Nanum Brush Script" w:hAnsi="DIN Alternate" w:cs="Gill Sans Light"/>
        <w:color w:val="4472C4" w:themeColor="accent1"/>
        <w:sz w:val="20"/>
        <w:szCs w:val="20"/>
      </w:rPr>
    </w:pPr>
    <w:r w:rsidRPr="00F735DF">
      <w:rPr>
        <w:rFonts w:ascii="DIN Alternate" w:eastAsia="Nanum Brush Script" w:hAnsi="DIN Alternate" w:cs="Gill Sans Light"/>
        <w:color w:val="4472C4" w:themeColor="accent1"/>
        <w:sz w:val="20"/>
        <w:szCs w:val="20"/>
      </w:rPr>
      <w:t>2020 Assessment Worksheet | University of Denver</w:t>
    </w:r>
  </w:p>
  <w:p w14:paraId="5DB25420" w14:textId="77777777" w:rsidR="001F36E1" w:rsidRPr="00F735DF" w:rsidRDefault="001F36E1" w:rsidP="0023690B">
    <w:pPr>
      <w:pStyle w:val="Header"/>
      <w:jc w:val="center"/>
      <w:rPr>
        <w:rFonts w:ascii="DIN Alternate" w:eastAsia="Nanum Brush Script" w:hAnsi="DIN Alternate" w:cs="Gill Sans Light"/>
        <w:color w:val="4472C4" w:themeColor="accen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D7450"/>
    <w:multiLevelType w:val="multilevel"/>
    <w:tmpl w:val="E5F6C4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93BE3"/>
    <w:multiLevelType w:val="multilevel"/>
    <w:tmpl w:val="7C9C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146156"/>
    <w:multiLevelType w:val="hybridMultilevel"/>
    <w:tmpl w:val="F0EC3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D7139"/>
    <w:multiLevelType w:val="hybridMultilevel"/>
    <w:tmpl w:val="AF5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87246"/>
    <w:multiLevelType w:val="hybridMultilevel"/>
    <w:tmpl w:val="5650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9310E7"/>
    <w:multiLevelType w:val="multilevel"/>
    <w:tmpl w:val="41B4E2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5B7557"/>
    <w:multiLevelType w:val="multilevel"/>
    <w:tmpl w:val="D6B45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743C2A"/>
    <w:multiLevelType w:val="hybridMultilevel"/>
    <w:tmpl w:val="F0EC3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1091F"/>
    <w:multiLevelType w:val="hybridMultilevel"/>
    <w:tmpl w:val="24FC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1"/>
  </w:num>
  <w:num w:numId="5">
    <w:abstractNumId w:val="6"/>
  </w:num>
  <w:num w:numId="6">
    <w:abstractNumId w:val="0"/>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65"/>
    <w:rsid w:val="00021C84"/>
    <w:rsid w:val="0002410D"/>
    <w:rsid w:val="00075960"/>
    <w:rsid w:val="00075F1E"/>
    <w:rsid w:val="000876CE"/>
    <w:rsid w:val="000B1529"/>
    <w:rsid w:val="000B2465"/>
    <w:rsid w:val="000D4A7B"/>
    <w:rsid w:val="000D7C2E"/>
    <w:rsid w:val="00112708"/>
    <w:rsid w:val="00127CA0"/>
    <w:rsid w:val="00132679"/>
    <w:rsid w:val="0013338A"/>
    <w:rsid w:val="00135C89"/>
    <w:rsid w:val="00137186"/>
    <w:rsid w:val="00161455"/>
    <w:rsid w:val="0018742C"/>
    <w:rsid w:val="00191BA8"/>
    <w:rsid w:val="001F36E1"/>
    <w:rsid w:val="001F4043"/>
    <w:rsid w:val="001F7FC6"/>
    <w:rsid w:val="00201E0A"/>
    <w:rsid w:val="002036D8"/>
    <w:rsid w:val="002061DD"/>
    <w:rsid w:val="002104BA"/>
    <w:rsid w:val="00222A71"/>
    <w:rsid w:val="002264B7"/>
    <w:rsid w:val="00226770"/>
    <w:rsid w:val="0023690B"/>
    <w:rsid w:val="00244736"/>
    <w:rsid w:val="002478BB"/>
    <w:rsid w:val="002576C4"/>
    <w:rsid w:val="002668C4"/>
    <w:rsid w:val="00291140"/>
    <w:rsid w:val="002A525F"/>
    <w:rsid w:val="002B4CF6"/>
    <w:rsid w:val="002D0BFE"/>
    <w:rsid w:val="002F5F35"/>
    <w:rsid w:val="0031027F"/>
    <w:rsid w:val="0032582B"/>
    <w:rsid w:val="00342106"/>
    <w:rsid w:val="003470ED"/>
    <w:rsid w:val="003510D0"/>
    <w:rsid w:val="0036193D"/>
    <w:rsid w:val="00371CCF"/>
    <w:rsid w:val="00380E80"/>
    <w:rsid w:val="00386CE7"/>
    <w:rsid w:val="00392FD4"/>
    <w:rsid w:val="00395650"/>
    <w:rsid w:val="003A00EA"/>
    <w:rsid w:val="003B25D4"/>
    <w:rsid w:val="003D49EA"/>
    <w:rsid w:val="003D7662"/>
    <w:rsid w:val="003E0937"/>
    <w:rsid w:val="003E195A"/>
    <w:rsid w:val="00404B4E"/>
    <w:rsid w:val="00436938"/>
    <w:rsid w:val="00443D68"/>
    <w:rsid w:val="00444206"/>
    <w:rsid w:val="004578CC"/>
    <w:rsid w:val="00486C8C"/>
    <w:rsid w:val="004934F4"/>
    <w:rsid w:val="004D5E58"/>
    <w:rsid w:val="004F3BC3"/>
    <w:rsid w:val="005001CE"/>
    <w:rsid w:val="0050129F"/>
    <w:rsid w:val="005064DF"/>
    <w:rsid w:val="00513C34"/>
    <w:rsid w:val="00542158"/>
    <w:rsid w:val="00552F07"/>
    <w:rsid w:val="00560E35"/>
    <w:rsid w:val="00563F42"/>
    <w:rsid w:val="005647BC"/>
    <w:rsid w:val="005658D4"/>
    <w:rsid w:val="005878CB"/>
    <w:rsid w:val="00591E5D"/>
    <w:rsid w:val="00595C86"/>
    <w:rsid w:val="005F3547"/>
    <w:rsid w:val="00606170"/>
    <w:rsid w:val="006277F6"/>
    <w:rsid w:val="006464D2"/>
    <w:rsid w:val="006525E3"/>
    <w:rsid w:val="0065554A"/>
    <w:rsid w:val="00672C8C"/>
    <w:rsid w:val="0068748C"/>
    <w:rsid w:val="00691321"/>
    <w:rsid w:val="006B1A05"/>
    <w:rsid w:val="006C151E"/>
    <w:rsid w:val="006D7236"/>
    <w:rsid w:val="006E7077"/>
    <w:rsid w:val="006F2292"/>
    <w:rsid w:val="007015C7"/>
    <w:rsid w:val="0070224B"/>
    <w:rsid w:val="007049CD"/>
    <w:rsid w:val="007053EA"/>
    <w:rsid w:val="00723556"/>
    <w:rsid w:val="00730FE6"/>
    <w:rsid w:val="007A273D"/>
    <w:rsid w:val="007C4689"/>
    <w:rsid w:val="007D4442"/>
    <w:rsid w:val="007D6D51"/>
    <w:rsid w:val="00802F81"/>
    <w:rsid w:val="0081736E"/>
    <w:rsid w:val="00821DCA"/>
    <w:rsid w:val="00836324"/>
    <w:rsid w:val="00843EA9"/>
    <w:rsid w:val="00873D3F"/>
    <w:rsid w:val="0087416F"/>
    <w:rsid w:val="0088239F"/>
    <w:rsid w:val="008903BC"/>
    <w:rsid w:val="008B11D0"/>
    <w:rsid w:val="008C4C7D"/>
    <w:rsid w:val="008D25DD"/>
    <w:rsid w:val="008D3E3B"/>
    <w:rsid w:val="008D6432"/>
    <w:rsid w:val="008D74CD"/>
    <w:rsid w:val="008F3F39"/>
    <w:rsid w:val="008F5E2E"/>
    <w:rsid w:val="009025F4"/>
    <w:rsid w:val="0092779C"/>
    <w:rsid w:val="00930788"/>
    <w:rsid w:val="0094344B"/>
    <w:rsid w:val="00971592"/>
    <w:rsid w:val="00977C9E"/>
    <w:rsid w:val="00982745"/>
    <w:rsid w:val="009834A2"/>
    <w:rsid w:val="00994036"/>
    <w:rsid w:val="00995123"/>
    <w:rsid w:val="009A3597"/>
    <w:rsid w:val="009B20FC"/>
    <w:rsid w:val="009D1D7C"/>
    <w:rsid w:val="009F144F"/>
    <w:rsid w:val="00A40F24"/>
    <w:rsid w:val="00A4535A"/>
    <w:rsid w:val="00A46493"/>
    <w:rsid w:val="00A513C6"/>
    <w:rsid w:val="00A53DDC"/>
    <w:rsid w:val="00A6284D"/>
    <w:rsid w:val="00A76091"/>
    <w:rsid w:val="00A80E0A"/>
    <w:rsid w:val="00A83742"/>
    <w:rsid w:val="00A943A5"/>
    <w:rsid w:val="00AA3E23"/>
    <w:rsid w:val="00AA5482"/>
    <w:rsid w:val="00AB1B30"/>
    <w:rsid w:val="00AB4FA0"/>
    <w:rsid w:val="00AD0565"/>
    <w:rsid w:val="00AD3A91"/>
    <w:rsid w:val="00AE2817"/>
    <w:rsid w:val="00B07F07"/>
    <w:rsid w:val="00B235F2"/>
    <w:rsid w:val="00B250D6"/>
    <w:rsid w:val="00B34AD9"/>
    <w:rsid w:val="00B41FE4"/>
    <w:rsid w:val="00B55AFD"/>
    <w:rsid w:val="00B72642"/>
    <w:rsid w:val="00B80E05"/>
    <w:rsid w:val="00BA23D4"/>
    <w:rsid w:val="00BA6E3A"/>
    <w:rsid w:val="00BC195D"/>
    <w:rsid w:val="00BC4916"/>
    <w:rsid w:val="00BD3929"/>
    <w:rsid w:val="00BF3A43"/>
    <w:rsid w:val="00C02FC3"/>
    <w:rsid w:val="00C057EE"/>
    <w:rsid w:val="00C42C5B"/>
    <w:rsid w:val="00C66518"/>
    <w:rsid w:val="00C676F2"/>
    <w:rsid w:val="00C875DD"/>
    <w:rsid w:val="00CB1823"/>
    <w:rsid w:val="00CC400A"/>
    <w:rsid w:val="00CD1284"/>
    <w:rsid w:val="00CD1CFE"/>
    <w:rsid w:val="00CD2EBE"/>
    <w:rsid w:val="00CD2FF0"/>
    <w:rsid w:val="00CE494B"/>
    <w:rsid w:val="00CF441C"/>
    <w:rsid w:val="00D26DD8"/>
    <w:rsid w:val="00D2715F"/>
    <w:rsid w:val="00D27C12"/>
    <w:rsid w:val="00D452CC"/>
    <w:rsid w:val="00D507CD"/>
    <w:rsid w:val="00D60915"/>
    <w:rsid w:val="00D8545E"/>
    <w:rsid w:val="00DC68EC"/>
    <w:rsid w:val="00DF2072"/>
    <w:rsid w:val="00DF2647"/>
    <w:rsid w:val="00E23A15"/>
    <w:rsid w:val="00E2428B"/>
    <w:rsid w:val="00E30676"/>
    <w:rsid w:val="00E34B28"/>
    <w:rsid w:val="00E53FCF"/>
    <w:rsid w:val="00E66D38"/>
    <w:rsid w:val="00E73FBA"/>
    <w:rsid w:val="00E87D0E"/>
    <w:rsid w:val="00E9254A"/>
    <w:rsid w:val="00EA43A9"/>
    <w:rsid w:val="00EE75BE"/>
    <w:rsid w:val="00EF1029"/>
    <w:rsid w:val="00F031DA"/>
    <w:rsid w:val="00F131D1"/>
    <w:rsid w:val="00F17502"/>
    <w:rsid w:val="00F229E9"/>
    <w:rsid w:val="00F40405"/>
    <w:rsid w:val="00F45326"/>
    <w:rsid w:val="00F62D73"/>
    <w:rsid w:val="00F735DF"/>
    <w:rsid w:val="00F85084"/>
    <w:rsid w:val="00FA2E32"/>
    <w:rsid w:val="00FB13C3"/>
    <w:rsid w:val="00FC3083"/>
    <w:rsid w:val="00FD3B33"/>
    <w:rsid w:val="00FF27A2"/>
    <w:rsid w:val="00FF329C"/>
    <w:rsid w:val="00FF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094E"/>
  <w14:defaultImageDpi w14:val="32767"/>
  <w15:chartTrackingRefBased/>
  <w15:docId w15:val="{2E92EDC9-694A-5946-838F-504E7C4F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24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465"/>
    <w:pPr>
      <w:tabs>
        <w:tab w:val="center" w:pos="4680"/>
        <w:tab w:val="right" w:pos="9360"/>
      </w:tabs>
    </w:pPr>
  </w:style>
  <w:style w:type="character" w:customStyle="1" w:styleId="HeaderChar">
    <w:name w:val="Header Char"/>
    <w:basedOn w:val="DefaultParagraphFont"/>
    <w:link w:val="Header"/>
    <w:uiPriority w:val="99"/>
    <w:rsid w:val="000B2465"/>
  </w:style>
  <w:style w:type="paragraph" w:styleId="Footer">
    <w:name w:val="footer"/>
    <w:basedOn w:val="Normal"/>
    <w:link w:val="FooterChar"/>
    <w:uiPriority w:val="99"/>
    <w:unhideWhenUsed/>
    <w:rsid w:val="000B2465"/>
    <w:pPr>
      <w:tabs>
        <w:tab w:val="center" w:pos="4680"/>
        <w:tab w:val="right" w:pos="9360"/>
      </w:tabs>
    </w:pPr>
  </w:style>
  <w:style w:type="character" w:customStyle="1" w:styleId="FooterChar">
    <w:name w:val="Footer Char"/>
    <w:basedOn w:val="DefaultParagraphFont"/>
    <w:link w:val="Footer"/>
    <w:uiPriority w:val="99"/>
    <w:rsid w:val="000B2465"/>
  </w:style>
  <w:style w:type="table" w:styleId="TableGrid">
    <w:name w:val="Table Grid"/>
    <w:basedOn w:val="TableNormal"/>
    <w:uiPriority w:val="39"/>
    <w:rsid w:val="000B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465"/>
    <w:pPr>
      <w:ind w:left="720"/>
      <w:contextualSpacing/>
    </w:pPr>
  </w:style>
  <w:style w:type="character" w:styleId="PageNumber">
    <w:name w:val="page number"/>
    <w:basedOn w:val="DefaultParagraphFont"/>
    <w:uiPriority w:val="99"/>
    <w:semiHidden/>
    <w:unhideWhenUsed/>
    <w:rsid w:val="000B2465"/>
  </w:style>
  <w:style w:type="character" w:styleId="Hyperlink">
    <w:name w:val="Hyperlink"/>
    <w:basedOn w:val="DefaultParagraphFont"/>
    <w:uiPriority w:val="99"/>
    <w:unhideWhenUsed/>
    <w:rsid w:val="00395650"/>
    <w:rPr>
      <w:color w:val="0563C1" w:themeColor="hyperlink"/>
      <w:u w:val="single"/>
    </w:rPr>
  </w:style>
  <w:style w:type="character" w:styleId="UnresolvedMention">
    <w:name w:val="Unresolved Mention"/>
    <w:basedOn w:val="DefaultParagraphFont"/>
    <w:uiPriority w:val="99"/>
    <w:rsid w:val="00395650"/>
    <w:rPr>
      <w:color w:val="605E5C"/>
      <w:shd w:val="clear" w:color="auto" w:fill="E1DFDD"/>
    </w:rPr>
  </w:style>
  <w:style w:type="character" w:styleId="FollowedHyperlink">
    <w:name w:val="FollowedHyperlink"/>
    <w:basedOn w:val="DefaultParagraphFont"/>
    <w:uiPriority w:val="99"/>
    <w:semiHidden/>
    <w:unhideWhenUsed/>
    <w:rsid w:val="004578CC"/>
    <w:rPr>
      <w:color w:val="954F72" w:themeColor="followedHyperlink"/>
      <w:u w:val="single"/>
    </w:rPr>
  </w:style>
  <w:style w:type="paragraph" w:customStyle="1" w:styleId="paragraph">
    <w:name w:val="paragraph"/>
    <w:basedOn w:val="Normal"/>
    <w:rsid w:val="00FD3B3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D3B33"/>
  </w:style>
  <w:style w:type="character" w:customStyle="1" w:styleId="eop">
    <w:name w:val="eop"/>
    <w:basedOn w:val="DefaultParagraphFont"/>
    <w:rsid w:val="00FD3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83701">
      <w:bodyDiv w:val="1"/>
      <w:marLeft w:val="0"/>
      <w:marRight w:val="0"/>
      <w:marTop w:val="0"/>
      <w:marBottom w:val="0"/>
      <w:divBdr>
        <w:top w:val="none" w:sz="0" w:space="0" w:color="auto"/>
        <w:left w:val="none" w:sz="0" w:space="0" w:color="auto"/>
        <w:bottom w:val="none" w:sz="0" w:space="0" w:color="auto"/>
        <w:right w:val="none" w:sz="0" w:space="0" w:color="auto"/>
      </w:divBdr>
    </w:div>
    <w:div w:id="339091333">
      <w:bodyDiv w:val="1"/>
      <w:marLeft w:val="0"/>
      <w:marRight w:val="0"/>
      <w:marTop w:val="0"/>
      <w:marBottom w:val="0"/>
      <w:divBdr>
        <w:top w:val="none" w:sz="0" w:space="0" w:color="auto"/>
        <w:left w:val="none" w:sz="0" w:space="0" w:color="auto"/>
        <w:bottom w:val="none" w:sz="0" w:space="0" w:color="auto"/>
        <w:right w:val="none" w:sz="0" w:space="0" w:color="auto"/>
      </w:divBdr>
    </w:div>
    <w:div w:id="355543018">
      <w:bodyDiv w:val="1"/>
      <w:marLeft w:val="0"/>
      <w:marRight w:val="0"/>
      <w:marTop w:val="0"/>
      <w:marBottom w:val="0"/>
      <w:divBdr>
        <w:top w:val="none" w:sz="0" w:space="0" w:color="auto"/>
        <w:left w:val="none" w:sz="0" w:space="0" w:color="auto"/>
        <w:bottom w:val="none" w:sz="0" w:space="0" w:color="auto"/>
        <w:right w:val="none" w:sz="0" w:space="0" w:color="auto"/>
      </w:divBdr>
    </w:div>
    <w:div w:id="468204330">
      <w:bodyDiv w:val="1"/>
      <w:marLeft w:val="0"/>
      <w:marRight w:val="0"/>
      <w:marTop w:val="0"/>
      <w:marBottom w:val="0"/>
      <w:divBdr>
        <w:top w:val="none" w:sz="0" w:space="0" w:color="auto"/>
        <w:left w:val="none" w:sz="0" w:space="0" w:color="auto"/>
        <w:bottom w:val="none" w:sz="0" w:space="0" w:color="auto"/>
        <w:right w:val="none" w:sz="0" w:space="0" w:color="auto"/>
      </w:divBdr>
    </w:div>
    <w:div w:id="803891932">
      <w:bodyDiv w:val="1"/>
      <w:marLeft w:val="0"/>
      <w:marRight w:val="0"/>
      <w:marTop w:val="0"/>
      <w:marBottom w:val="0"/>
      <w:divBdr>
        <w:top w:val="none" w:sz="0" w:space="0" w:color="auto"/>
        <w:left w:val="none" w:sz="0" w:space="0" w:color="auto"/>
        <w:bottom w:val="none" w:sz="0" w:space="0" w:color="auto"/>
        <w:right w:val="none" w:sz="0" w:space="0" w:color="auto"/>
      </w:divBdr>
    </w:div>
    <w:div w:id="1125079644">
      <w:bodyDiv w:val="1"/>
      <w:marLeft w:val="0"/>
      <w:marRight w:val="0"/>
      <w:marTop w:val="0"/>
      <w:marBottom w:val="0"/>
      <w:divBdr>
        <w:top w:val="none" w:sz="0" w:space="0" w:color="auto"/>
        <w:left w:val="none" w:sz="0" w:space="0" w:color="auto"/>
        <w:bottom w:val="none" w:sz="0" w:space="0" w:color="auto"/>
        <w:right w:val="none" w:sz="0" w:space="0" w:color="auto"/>
      </w:divBdr>
    </w:div>
    <w:div w:id="1376349142">
      <w:bodyDiv w:val="1"/>
      <w:marLeft w:val="0"/>
      <w:marRight w:val="0"/>
      <w:marTop w:val="0"/>
      <w:marBottom w:val="0"/>
      <w:divBdr>
        <w:top w:val="none" w:sz="0" w:space="0" w:color="auto"/>
        <w:left w:val="none" w:sz="0" w:space="0" w:color="auto"/>
        <w:bottom w:val="none" w:sz="0" w:space="0" w:color="auto"/>
        <w:right w:val="none" w:sz="0" w:space="0" w:color="auto"/>
      </w:divBdr>
    </w:div>
    <w:div w:id="1407724947">
      <w:bodyDiv w:val="1"/>
      <w:marLeft w:val="0"/>
      <w:marRight w:val="0"/>
      <w:marTop w:val="0"/>
      <w:marBottom w:val="0"/>
      <w:divBdr>
        <w:top w:val="none" w:sz="0" w:space="0" w:color="auto"/>
        <w:left w:val="none" w:sz="0" w:space="0" w:color="auto"/>
        <w:bottom w:val="none" w:sz="0" w:space="0" w:color="auto"/>
        <w:right w:val="none" w:sz="0" w:space="0" w:color="auto"/>
      </w:divBdr>
      <w:divsChild>
        <w:div w:id="1066343609">
          <w:marLeft w:val="0"/>
          <w:marRight w:val="0"/>
          <w:marTop w:val="0"/>
          <w:marBottom w:val="0"/>
          <w:divBdr>
            <w:top w:val="none" w:sz="0" w:space="0" w:color="auto"/>
            <w:left w:val="none" w:sz="0" w:space="0" w:color="auto"/>
            <w:bottom w:val="none" w:sz="0" w:space="0" w:color="auto"/>
            <w:right w:val="none" w:sz="0" w:space="0" w:color="auto"/>
          </w:divBdr>
        </w:div>
        <w:div w:id="2038650406">
          <w:marLeft w:val="0"/>
          <w:marRight w:val="0"/>
          <w:marTop w:val="0"/>
          <w:marBottom w:val="0"/>
          <w:divBdr>
            <w:top w:val="none" w:sz="0" w:space="0" w:color="auto"/>
            <w:left w:val="none" w:sz="0" w:space="0" w:color="auto"/>
            <w:bottom w:val="none" w:sz="0" w:space="0" w:color="auto"/>
            <w:right w:val="none" w:sz="0" w:space="0" w:color="auto"/>
          </w:divBdr>
        </w:div>
        <w:div w:id="1132360160">
          <w:marLeft w:val="0"/>
          <w:marRight w:val="0"/>
          <w:marTop w:val="0"/>
          <w:marBottom w:val="0"/>
          <w:divBdr>
            <w:top w:val="none" w:sz="0" w:space="0" w:color="auto"/>
            <w:left w:val="none" w:sz="0" w:space="0" w:color="auto"/>
            <w:bottom w:val="none" w:sz="0" w:space="0" w:color="auto"/>
            <w:right w:val="none" w:sz="0" w:space="0" w:color="auto"/>
          </w:divBdr>
        </w:div>
        <w:div w:id="1440569529">
          <w:marLeft w:val="0"/>
          <w:marRight w:val="0"/>
          <w:marTop w:val="0"/>
          <w:marBottom w:val="0"/>
          <w:divBdr>
            <w:top w:val="none" w:sz="0" w:space="0" w:color="auto"/>
            <w:left w:val="none" w:sz="0" w:space="0" w:color="auto"/>
            <w:bottom w:val="none" w:sz="0" w:space="0" w:color="auto"/>
            <w:right w:val="none" w:sz="0" w:space="0" w:color="auto"/>
          </w:divBdr>
        </w:div>
        <w:div w:id="284240664">
          <w:marLeft w:val="0"/>
          <w:marRight w:val="0"/>
          <w:marTop w:val="0"/>
          <w:marBottom w:val="0"/>
          <w:divBdr>
            <w:top w:val="none" w:sz="0" w:space="0" w:color="auto"/>
            <w:left w:val="none" w:sz="0" w:space="0" w:color="auto"/>
            <w:bottom w:val="none" w:sz="0" w:space="0" w:color="auto"/>
            <w:right w:val="none" w:sz="0" w:space="0" w:color="auto"/>
          </w:divBdr>
        </w:div>
      </w:divsChild>
    </w:div>
    <w:div w:id="1455520990">
      <w:bodyDiv w:val="1"/>
      <w:marLeft w:val="0"/>
      <w:marRight w:val="0"/>
      <w:marTop w:val="0"/>
      <w:marBottom w:val="0"/>
      <w:divBdr>
        <w:top w:val="none" w:sz="0" w:space="0" w:color="auto"/>
        <w:left w:val="none" w:sz="0" w:space="0" w:color="auto"/>
        <w:bottom w:val="none" w:sz="0" w:space="0" w:color="auto"/>
        <w:right w:val="none" w:sz="0" w:space="0" w:color="auto"/>
      </w:divBdr>
    </w:div>
    <w:div w:id="1491866475">
      <w:bodyDiv w:val="1"/>
      <w:marLeft w:val="0"/>
      <w:marRight w:val="0"/>
      <w:marTop w:val="0"/>
      <w:marBottom w:val="0"/>
      <w:divBdr>
        <w:top w:val="none" w:sz="0" w:space="0" w:color="auto"/>
        <w:left w:val="none" w:sz="0" w:space="0" w:color="auto"/>
        <w:bottom w:val="none" w:sz="0" w:space="0" w:color="auto"/>
        <w:right w:val="none" w:sz="0" w:space="0" w:color="auto"/>
      </w:divBdr>
    </w:div>
    <w:div w:id="1879466948">
      <w:bodyDiv w:val="1"/>
      <w:marLeft w:val="0"/>
      <w:marRight w:val="0"/>
      <w:marTop w:val="0"/>
      <w:marBottom w:val="0"/>
      <w:divBdr>
        <w:top w:val="none" w:sz="0" w:space="0" w:color="auto"/>
        <w:left w:val="none" w:sz="0" w:space="0" w:color="auto"/>
        <w:bottom w:val="none" w:sz="0" w:space="0" w:color="auto"/>
        <w:right w:val="none" w:sz="0" w:space="0" w:color="auto"/>
      </w:divBdr>
    </w:div>
    <w:div w:id="1933854378">
      <w:bodyDiv w:val="1"/>
      <w:marLeft w:val="0"/>
      <w:marRight w:val="0"/>
      <w:marTop w:val="0"/>
      <w:marBottom w:val="0"/>
      <w:divBdr>
        <w:top w:val="none" w:sz="0" w:space="0" w:color="auto"/>
        <w:left w:val="none" w:sz="0" w:space="0" w:color="auto"/>
        <w:bottom w:val="none" w:sz="0" w:space="0" w:color="auto"/>
        <w:right w:val="none" w:sz="0" w:space="0" w:color="auto"/>
      </w:divBdr>
    </w:div>
    <w:div w:id="197414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ching.berkeley.edu/sites/default/files/sample_midterm_eval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tatic1.squarespace.com/static/5738a0ccd51cd47f81977fe8/t/5750e567f699bbceac6e97f5/1464919400130/CIQ.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tl.du.edu/blog-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ost.tufts.edu/celt/files/MinutePaper.pdf" TargetMode="External"/><Relationship Id="rId5" Type="http://schemas.openxmlformats.org/officeDocument/2006/relationships/styles" Target="styles.xml"/><Relationship Id="rId15" Type="http://schemas.openxmlformats.org/officeDocument/2006/relationships/hyperlink" Target="https://otl.du.edu/mitigating-increasing-inequity-as-we-move-online/" TargetMode="External"/><Relationship Id="rId10" Type="http://schemas.openxmlformats.org/officeDocument/2006/relationships/hyperlink" Target="https://otl.du.edu/mitigating-increasing-inequity-as-we-move-onlin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ristina.paguyo@du.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82f618-69be-4ce2-a696-d1da93043f78">
      <Terms xmlns="http://schemas.microsoft.com/office/infopath/2007/PartnerControls"/>
    </lcf76f155ced4ddcb4097134ff3c332f>
    <TaxCatchAll xmlns="c1bd1ca9-9c91-4683-a878-07ee18940d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6D1F667BB72D448DADA7732E5CE3C8" ma:contentTypeVersion="18" ma:contentTypeDescription="Create a new document." ma:contentTypeScope="" ma:versionID="a85b214965104328b7864a82416c2e82">
  <xsd:schema xmlns:xsd="http://www.w3.org/2001/XMLSchema" xmlns:xs="http://www.w3.org/2001/XMLSchema" xmlns:p="http://schemas.microsoft.com/office/2006/metadata/properties" xmlns:ns2="5e82f618-69be-4ce2-a696-d1da93043f78" xmlns:ns3="c1bd1ca9-9c91-4683-a878-07ee18940dc9" targetNamespace="http://schemas.microsoft.com/office/2006/metadata/properties" ma:root="true" ma:fieldsID="207e4368a4fe254ead41fbdfd1f0549a" ns2:_="" ns3:_="">
    <xsd:import namespace="5e82f618-69be-4ce2-a696-d1da93043f78"/>
    <xsd:import namespace="c1bd1ca9-9c91-4683-a878-07ee18940d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2f618-69be-4ce2-a696-d1da9304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5d4096-f54e-457a-8f2d-f1e5b7226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d1ca9-9c91-4683-a878-07ee18940d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436845-022b-4b61-a4be-953cfa68c897}" ma:internalName="TaxCatchAll" ma:showField="CatchAllData" ma:web="c1bd1ca9-9c91-4683-a878-07ee18940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A78F-CB02-4A88-820C-CA902AE1E6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7DDDEC-5D1E-44A7-B7D1-830624179A5B}">
  <ds:schemaRefs>
    <ds:schemaRef ds:uri="http://schemas.microsoft.com/sharepoint/v3/contenttype/forms"/>
  </ds:schemaRefs>
</ds:datastoreItem>
</file>

<file path=customXml/itemProps3.xml><?xml version="1.0" encoding="utf-8"?>
<ds:datastoreItem xmlns:ds="http://schemas.openxmlformats.org/officeDocument/2006/customXml" ds:itemID="{944F26F9-B25B-40C2-9D8E-80479D8562EE}"/>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Paguyo</dc:creator>
  <cp:keywords/>
  <dc:description/>
  <cp:lastModifiedBy>Heather Tobin</cp:lastModifiedBy>
  <cp:revision>2</cp:revision>
  <dcterms:created xsi:type="dcterms:W3CDTF">2020-06-10T23:23:00Z</dcterms:created>
  <dcterms:modified xsi:type="dcterms:W3CDTF">2020-06-10T23:23:00Z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0x010100056D1F667BB72D448DADA7732E5CE3C8</vt:lpwstr>
  </property>
</Properties>
</file>